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both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麦积区政务服务管理局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整体支出绩效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自评报告</w:t>
      </w:r>
    </w:p>
    <w:p>
      <w:pPr>
        <w:spacing w:line="348" w:lineRule="auto"/>
        <w:jc w:val="center"/>
        <w:rPr>
          <w:rFonts w:hint="eastAsia" w:ascii="楷体_GB2312" w:hAnsi="宋体" w:eastAsia="楷体_GB2312"/>
          <w:bCs/>
          <w:szCs w:val="32"/>
        </w:rPr>
      </w:pPr>
    </w:p>
    <w:p>
      <w:pPr>
        <w:rPr>
          <w:rFonts w:hint="eastAsia" w:eastAsia="仿宋_GB2312"/>
          <w:b/>
          <w:sz w:val="28"/>
          <w:szCs w:val="32"/>
        </w:rPr>
      </w:pPr>
    </w:p>
    <w:p>
      <w:pPr>
        <w:ind w:firstLine="413" w:firstLineChars="147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b/>
          <w:sz w:val="28"/>
          <w:szCs w:val="44"/>
        </w:rPr>
        <w:t>评价类型</w:t>
      </w:r>
      <w:r>
        <w:rPr>
          <w:rFonts w:hint="eastAsia" w:ascii="仿宋_GB2312" w:eastAsia="仿宋_GB2312"/>
          <w:sz w:val="28"/>
          <w:szCs w:val="44"/>
        </w:rPr>
        <w:t>：部门（单位）整体评价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/</w:t>
      </w:r>
      <w:r>
        <w:rPr>
          <w:rFonts w:hint="eastAsia" w:ascii="仿宋_GB2312" w:eastAsia="仿宋_GB2312"/>
          <w:sz w:val="28"/>
          <w:szCs w:val="44"/>
        </w:rPr>
        <w:t>自评</w:t>
      </w:r>
    </w:p>
    <w:p>
      <w:pPr>
        <w:spacing w:before="217" w:beforeLines="50" w:line="348" w:lineRule="auto"/>
        <w:ind w:firstLine="420" w:firstLineChars="150"/>
        <w:rPr>
          <w:rFonts w:hint="eastAsia" w:ascii="仿宋_GB2312" w:eastAsia="仿宋_GB2312"/>
          <w:sz w:val="28"/>
          <w:szCs w:val="44"/>
          <w:u w:val="single"/>
        </w:rPr>
      </w:pPr>
      <w:r>
        <w:rPr>
          <w:rFonts w:hint="eastAsia" w:ascii="仿宋_GB2312" w:eastAsia="仿宋_GB2312"/>
          <w:sz w:val="28"/>
          <w:szCs w:val="44"/>
        </w:rPr>
        <w:t>主管部门</w:t>
      </w:r>
      <w:r>
        <w:rPr>
          <w:rFonts w:hint="eastAsia" w:ascii="仿宋_GB2312" w:eastAsia="仿宋_GB2312"/>
          <w:sz w:val="28"/>
          <w:szCs w:val="44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麦积区政务服务管理局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44"/>
          <w:u w:val="single"/>
        </w:rPr>
        <w:t xml:space="preserve">                 </w:t>
      </w:r>
    </w:p>
    <w:p>
      <w:pPr>
        <w:spacing w:before="217" w:beforeLines="50" w:line="348" w:lineRule="auto"/>
        <w:ind w:firstLine="420" w:firstLineChars="15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单位名称</w:t>
      </w:r>
      <w:r>
        <w:rPr>
          <w:rFonts w:hint="eastAsia" w:ascii="仿宋_GB2312" w:eastAsia="仿宋_GB2312"/>
          <w:sz w:val="28"/>
          <w:szCs w:val="44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麦积区政务服务管理局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44"/>
          <w:u w:val="single"/>
        </w:rPr>
        <w:t xml:space="preserve">                  </w:t>
      </w:r>
    </w:p>
    <w:p>
      <w:pPr>
        <w:spacing w:before="217" w:beforeLines="50" w:line="348" w:lineRule="auto"/>
        <w:ind w:firstLine="420" w:firstLineChars="15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评价方式：自评</w:t>
      </w:r>
      <w:r>
        <w:rPr>
          <w:rFonts w:hint="eastAsia" w:ascii="仿宋_GB2312" w:eastAsia="仿宋_GB2312"/>
          <w:sz w:val="28"/>
          <w:szCs w:val="28"/>
          <w:lang w:eastAsia="zh-CN"/>
        </w:rPr>
        <w:t>☑</w:t>
      </w:r>
      <w:r>
        <w:rPr>
          <w:rFonts w:hint="eastAsia" w:ascii="仿宋_GB2312" w:eastAsia="仿宋_GB2312"/>
          <w:sz w:val="28"/>
          <w:szCs w:val="44"/>
        </w:rPr>
        <w:t>/评价□/再评价□</w:t>
      </w:r>
    </w:p>
    <w:p>
      <w:pPr>
        <w:spacing w:before="217" w:beforeLines="50" w:line="348" w:lineRule="auto"/>
        <w:ind w:firstLine="420" w:firstLineChars="15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评价机构：部门（单位）评价组</w:t>
      </w:r>
      <w:r>
        <w:rPr>
          <w:rFonts w:hint="eastAsia" w:ascii="仿宋_GB2312" w:eastAsia="仿宋_GB2312"/>
          <w:sz w:val="28"/>
          <w:szCs w:val="28"/>
          <w:lang w:eastAsia="zh-CN"/>
        </w:rPr>
        <w:t>☑</w:t>
      </w:r>
      <w:r>
        <w:rPr>
          <w:rFonts w:hint="eastAsia" w:ascii="仿宋_GB2312" w:eastAsia="仿宋_GB2312"/>
          <w:sz w:val="28"/>
          <w:szCs w:val="44"/>
        </w:rPr>
        <w:t>/第三方机构□</w:t>
      </w:r>
    </w:p>
    <w:p>
      <w:pPr>
        <w:spacing w:before="217" w:beforeLines="50" w:line="348" w:lineRule="auto"/>
        <w:ind w:firstLine="420" w:firstLineChars="150"/>
        <w:rPr>
          <w:rFonts w:hint="eastAsia" w:ascii="仿宋_GB2312" w:eastAsia="仿宋_GB2312"/>
          <w:sz w:val="28"/>
          <w:szCs w:val="44"/>
        </w:rPr>
      </w:pPr>
    </w:p>
    <w:p>
      <w:pPr>
        <w:spacing w:before="217" w:beforeLines="50" w:line="348" w:lineRule="auto"/>
        <w:ind w:firstLine="420" w:firstLineChars="150"/>
        <w:rPr>
          <w:rFonts w:hint="eastAsia" w:ascii="仿宋_GB2312" w:eastAsia="仿宋_GB2312"/>
          <w:sz w:val="28"/>
          <w:szCs w:val="44"/>
        </w:rPr>
      </w:pPr>
    </w:p>
    <w:p>
      <w:pPr>
        <w:spacing w:before="217" w:beforeLines="50" w:line="348" w:lineRule="auto"/>
        <w:ind w:firstLine="420" w:firstLineChars="150"/>
        <w:rPr>
          <w:rFonts w:hint="eastAsia" w:ascii="仿宋_GB2312" w:eastAsia="仿宋_GB2312"/>
          <w:sz w:val="28"/>
          <w:szCs w:val="44"/>
        </w:rPr>
      </w:pPr>
    </w:p>
    <w:p>
      <w:pPr>
        <w:spacing w:before="217" w:beforeLines="50" w:line="348" w:lineRule="auto"/>
        <w:jc w:val="center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报告日期： 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2022</w:t>
      </w:r>
      <w:r>
        <w:rPr>
          <w:rFonts w:hint="eastAsia" w:ascii="仿宋_GB2312" w:eastAsia="仿宋_GB2312"/>
          <w:sz w:val="28"/>
          <w:szCs w:val="44"/>
        </w:rPr>
        <w:t xml:space="preserve">  年 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44"/>
        </w:rPr>
        <w:t xml:space="preserve"> 月  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28</w:t>
      </w:r>
      <w:r>
        <w:rPr>
          <w:rFonts w:hint="eastAsia" w:ascii="仿宋_GB2312" w:eastAsia="仿宋_GB2312"/>
          <w:sz w:val="28"/>
          <w:szCs w:val="44"/>
        </w:rPr>
        <w:t xml:space="preserve"> 日</w:t>
      </w:r>
    </w:p>
    <w:p>
      <w:pPr>
        <w:spacing w:before="217" w:beforeLines="50" w:line="348" w:lineRule="auto"/>
        <w:jc w:val="center"/>
        <w:rPr>
          <w:rFonts w:hint="eastAsia" w:ascii="仿宋_GB2312" w:eastAsia="仿宋_GB2312"/>
          <w:szCs w:val="32"/>
        </w:rPr>
      </w:pPr>
    </w:p>
    <w:p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麦积区政务服务管理局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整体支出绩效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自评报告</w:t>
      </w:r>
    </w:p>
    <w:p>
      <w:pPr>
        <w:snapToGrid w:val="0"/>
        <w:spacing w:line="500" w:lineRule="exact"/>
        <w:jc w:val="center"/>
        <w:rPr>
          <w:rFonts w:hint="eastAsia" w:ascii="楷体_GB2312" w:eastAsia="楷体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16" w:firstLineChars="200"/>
        <w:textAlignment w:val="auto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ascii="黑体" w:hAnsi="黑体" w:eastAsia="黑体"/>
          <w:spacing w:val="-6"/>
          <w:sz w:val="32"/>
          <w:szCs w:val="32"/>
          <w:lang w:val="zh-CN"/>
        </w:rPr>
        <w:t>一、部门概况</w:t>
      </w:r>
    </w:p>
    <w:p>
      <w:pPr>
        <w:keepNext/>
        <w:keepLines/>
        <w:suppressLineNumbers/>
        <w:shd w:val="clear" w:color="auto" w:fill="FFFFFF"/>
        <w:spacing w:line="480" w:lineRule="atLeast"/>
        <w:ind w:firstLine="420"/>
        <w:jc w:val="left"/>
        <w:rPr>
          <w:rFonts w:hint="default" w:eastAsia="Times New Roman"/>
          <w:kern w:val="0"/>
          <w:sz w:val="24"/>
          <w:szCs w:val="24"/>
          <w:lang w:val="zh-CN"/>
        </w:rPr>
      </w:pPr>
      <w:r>
        <w:rPr>
          <w:rFonts w:hint="eastAsia" w:ascii="宋体" w:hAnsi="宋体"/>
          <w:b/>
          <w:kern w:val="0"/>
          <w:sz w:val="24"/>
          <w:szCs w:val="24"/>
          <w:lang w:val="zh-CN"/>
        </w:rPr>
        <w:t>一、部门职责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主要职能是贯彻落实和承接国家、省、市取消、下放和调整行政审批等事项工作；统筹区级行政审批事项及其他权力事项的取消下放和调整；负责对进驻政务大厅单位窗口的组织协调、管理监督和指导服务，对窗口单位及窗口工作人员的综合考核，及镇村两级政务大厅的业务指导工作。</w:t>
      </w:r>
    </w:p>
    <w:p>
      <w:pPr>
        <w:keepNext/>
        <w:keepLines/>
        <w:suppressLineNumbers/>
        <w:shd w:val="clear" w:color="auto" w:fill="FFFFFF"/>
        <w:spacing w:line="480" w:lineRule="atLeast"/>
        <w:ind w:firstLine="42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zh-CN"/>
        </w:rPr>
        <w:t>二、机构设置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麦积区政务服务管理局于2019年2月2日正式挂牌成立，为区政府工作部门，正科级建制，设行政编制7名，内设办公室、政务服务股、监督检查股等3个股室，下设政务服务中心1个中心，为政管局下属事业单位，设事业编制10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16" w:firstLineChars="200"/>
        <w:textAlignment w:val="auto"/>
        <w:rPr>
          <w:rFonts w:eastAsia="仿宋_GB2312"/>
          <w:spacing w:val="-6"/>
          <w:sz w:val="32"/>
          <w:szCs w:val="32"/>
          <w:lang w:val="zh-CN"/>
        </w:rPr>
      </w:pPr>
      <w:r>
        <w:rPr>
          <w:rFonts w:eastAsia="仿宋_GB2312"/>
          <w:spacing w:val="-6"/>
          <w:sz w:val="32"/>
          <w:szCs w:val="32"/>
          <w:lang w:val="zh-CN"/>
        </w:rPr>
        <w:t>（三）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2022</w:t>
      </w:r>
      <w:r>
        <w:rPr>
          <w:rFonts w:eastAsia="仿宋_GB2312"/>
          <w:spacing w:val="-6"/>
          <w:sz w:val="32"/>
          <w:szCs w:val="32"/>
          <w:lang w:val="zh-CN"/>
        </w:rPr>
        <w:t>年度重点工作计划（与目标一致）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16" w:firstLineChars="200"/>
        <w:textAlignment w:val="auto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ascii="黑体" w:hAnsi="黑体" w:eastAsia="黑体"/>
          <w:spacing w:val="-6"/>
          <w:sz w:val="32"/>
          <w:szCs w:val="32"/>
          <w:lang w:val="zh-CN"/>
        </w:rPr>
        <w:t>二、部门整体支出管理及使用情况</w:t>
      </w:r>
    </w:p>
    <w:p>
      <w:pPr>
        <w:spacing w:before="100" w:beforeLines="0" w:after="100" w:afterLines="0"/>
        <w:jc w:val="left"/>
        <w:rPr>
          <w:rFonts w:hint="eastAsia" w:ascii="仿宋" w:hAnsi="仿宋" w:eastAsia="仿宋" w:cs="仿宋"/>
          <w:color w:val="FF0000"/>
          <w:sz w:val="32"/>
          <w:szCs w:val="32"/>
          <w:lang w:val="zh-CN"/>
        </w:rPr>
      </w:pPr>
      <w:r>
        <w:rPr>
          <w:rFonts w:eastAsia="仿宋_GB2312"/>
          <w:spacing w:val="-6"/>
          <w:sz w:val="32"/>
          <w:szCs w:val="32"/>
          <w:lang w:val="zh-CN"/>
        </w:rPr>
        <w:t>（一）基本支出。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年度一般公共预算财政拨款基本支出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364.13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万元。其中：人员经费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186.1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较上年决算数减少21.78万元,下降10.48%,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主要原因是有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4月份退休。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/>
        </w:rPr>
        <w:t>公用经费12.56万元,较上年决算数减少180.45万元,下降93.49%,主要原因是政务大厅人员办公经费未进入预算。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16" w:firstLineChars="200"/>
        <w:textAlignment w:val="auto"/>
        <w:rPr>
          <w:rFonts w:hint="eastAsia" w:eastAsia="仿宋_GB2312"/>
          <w:spacing w:val="-6"/>
          <w:sz w:val="32"/>
          <w:szCs w:val="32"/>
          <w:lang w:val="en-US" w:eastAsia="zh-CN"/>
        </w:rPr>
      </w:pPr>
      <w:r>
        <w:rPr>
          <w:rFonts w:eastAsia="仿宋_GB2312"/>
          <w:spacing w:val="-6"/>
          <w:sz w:val="32"/>
          <w:szCs w:val="32"/>
          <w:lang w:val="zh-CN"/>
        </w:rPr>
        <w:t>（二）项目支出。</w:t>
      </w:r>
      <w:r>
        <w:rPr>
          <w:rFonts w:hint="eastAsia" w:eastAsia="仿宋_GB2312"/>
          <w:b w:val="0"/>
          <w:bCs w:val="0"/>
          <w:spacing w:val="-6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年度项目支出165.48万元，主要用于政务大厅的房租、物业费、水电费、取暖费，政务大厅公益性岗位人员工资等。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16" w:firstLineChars="200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zh-CN"/>
        </w:rPr>
      </w:pPr>
      <w:r>
        <w:rPr>
          <w:rFonts w:eastAsia="仿宋_GB2312"/>
          <w:spacing w:val="-6"/>
          <w:sz w:val="32"/>
          <w:szCs w:val="32"/>
          <w:lang w:val="zh-CN"/>
        </w:rPr>
        <w:t>（三）“三公”经费情况。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年度“三公”经费支出年初预算数为0万元，支出决算为0万元，完成年初预算的0%</w:t>
      </w:r>
    </w:p>
    <w:p>
      <w:pPr>
        <w:keepNext/>
        <w:keepLines/>
        <w:suppressLineNumbers/>
        <w:shd w:val="clear" w:color="auto" w:fill="FFFFFF"/>
        <w:spacing w:line="480" w:lineRule="atLeast"/>
        <w:ind w:firstLine="420"/>
        <w:jc w:val="left"/>
        <w:rPr>
          <w:rFonts w:ascii="黑体" w:hAnsi="黑体" w:eastAsia="黑体"/>
          <w:spacing w:val="-6"/>
          <w:sz w:val="32"/>
          <w:szCs w:val="32"/>
          <w:lang w:val="zh-CN"/>
        </w:rPr>
      </w:pPr>
      <w:bookmarkStart w:id="0" w:name="_Toc390113217"/>
      <w:r>
        <w:rPr>
          <w:rFonts w:ascii="黑体" w:hAnsi="黑体" w:eastAsia="黑体"/>
          <w:spacing w:val="-6"/>
          <w:sz w:val="32"/>
          <w:szCs w:val="32"/>
          <w:lang w:val="zh-CN"/>
        </w:rPr>
        <w:t>三、部门整体支出绩效情况</w:t>
      </w:r>
      <w:bookmarkEnd w:id="0"/>
      <w:bookmarkStart w:id="1" w:name="_Toc390113216"/>
      <w:bookmarkStart w:id="2" w:name="_Toc390113225"/>
    </w:p>
    <w:p>
      <w:pPr>
        <w:keepNext/>
        <w:keepLines/>
        <w:suppressLineNumbers/>
        <w:shd w:val="clear" w:color="auto" w:fill="FFFFFF"/>
        <w:spacing w:line="480" w:lineRule="atLeast"/>
        <w:ind w:firstLine="42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根据预算绩效管理要求，本部门以填报目标自评表形式开展自评，涉及资金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364.13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万元；我部门没有委托第三方形式开展绩效自评。从评价情况来看，自评价结果均为“优”。根据年初设定的绩效目标，总体完成情况较好，立项依据充分、预算编制合理、绩效目标明确、资金到位及时、预算执行进度较快；建立了相应的资金管理办法，完善了财务管理和内部控制等制度措施，有效保障了资金安全和绩效目标如期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keepNext/>
        <w:keepLines/>
        <w:suppressLineNumbers/>
        <w:shd w:val="clear" w:color="auto" w:fill="FFFFFF"/>
        <w:spacing w:line="480" w:lineRule="atLeast"/>
        <w:ind w:firstLine="420"/>
        <w:jc w:val="left"/>
        <w:rPr>
          <w:rFonts w:hint="default" w:eastAsia="Times New Roman"/>
          <w:kern w:val="0"/>
          <w:sz w:val="24"/>
          <w:szCs w:val="24"/>
          <w:lang w:val="zh-CN"/>
        </w:rPr>
      </w:pPr>
    </w:p>
    <w:p>
      <w:pPr>
        <w:keepNext/>
        <w:keepLines/>
        <w:numPr>
          <w:ilvl w:val="0"/>
          <w:numId w:val="1"/>
        </w:numPr>
        <w:suppressLineNumbers/>
        <w:shd w:val="clear" w:color="auto" w:fill="FFFFFF"/>
        <w:spacing w:line="480" w:lineRule="atLeast"/>
        <w:ind w:firstLine="420"/>
        <w:jc w:val="left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ascii="黑体" w:hAnsi="黑体" w:eastAsia="黑体"/>
          <w:spacing w:val="-6"/>
          <w:sz w:val="32"/>
          <w:szCs w:val="32"/>
          <w:lang w:val="zh-CN"/>
        </w:rPr>
        <w:t>绩效评价工作情况</w:t>
      </w:r>
      <w:bookmarkEnd w:id="1"/>
    </w:p>
    <w:p>
      <w:pPr>
        <w:keepNext/>
        <w:keepLines/>
        <w:numPr>
          <w:ilvl w:val="0"/>
          <w:numId w:val="0"/>
        </w:numPr>
        <w:suppressLineNumbers/>
        <w:shd w:val="clear" w:color="auto" w:fill="FFFFFF"/>
        <w:spacing w:line="480" w:lineRule="atLeas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全年预算数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364.13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万元。从评价情况来看：一是完成财政法规、政策执行、财政收支、政府采购、行政事业单位国有资产管理、会计信息质量、注册会计师及会计师事务所执业质量等检查工作，依法查处违规违法行为；二是完成省级财政支出项目的专项核查、概（预）决算的评审、省级预算编制中新增项目、预算执行中追加项目和预算执行中再次分配项目的评审、财政项目支出定额标准建设等工作；三是完成委托第三方政府购买服务工作，加强设备购置管理工作，压缩购置数量，降低购置成本；四是积极应对财政收支矛盾，突出依法理财、依法行政，不断提升财政管理科学化、规范化水平等绩效目标。</w:t>
      </w:r>
    </w:p>
    <w:p>
      <w:pPr>
        <w:keepNext/>
        <w:keepLines/>
        <w:suppressLineNumbers/>
        <w:shd w:val="clear" w:color="auto" w:fill="FFFFFF"/>
        <w:spacing w:line="480" w:lineRule="atLeast"/>
        <w:ind w:firstLine="420"/>
        <w:jc w:val="left"/>
        <w:rPr>
          <w:rFonts w:hint="eastAsia" w:ascii="仿宋" w:hAnsi="仿宋" w:eastAsia="仿宋" w:cs="仿宋"/>
          <w:spacing w:val="-6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我部门通过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自评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开展了重点绩效评价，评价结果为“优”。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420" w:firstLineChars="0"/>
        <w:textAlignment w:val="auto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ascii="黑体" w:hAnsi="黑体" w:eastAsia="黑体"/>
          <w:spacing w:val="-6"/>
          <w:sz w:val="32"/>
          <w:szCs w:val="32"/>
          <w:lang w:val="zh-CN"/>
        </w:rPr>
        <w:t>存在的主要问题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420" w:leftChars="0"/>
        <w:textAlignment w:val="auto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发现的问题及原因，预算编制和执行有待提高。</w:t>
      </w:r>
    </w:p>
    <w:p>
      <w:pPr>
        <w:keepNext/>
        <w:keepLines/>
        <w:numPr>
          <w:ilvl w:val="0"/>
          <w:numId w:val="1"/>
        </w:numPr>
        <w:suppressLineNumbers/>
        <w:shd w:val="clear" w:color="auto" w:fill="FFFFFF"/>
        <w:spacing w:line="480" w:lineRule="atLeast"/>
        <w:ind w:left="0" w:leftChars="0" w:firstLine="420" w:firstLineChars="0"/>
        <w:jc w:val="left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ascii="黑体" w:hAnsi="黑体" w:eastAsia="黑体"/>
          <w:spacing w:val="-6"/>
          <w:sz w:val="32"/>
          <w:szCs w:val="32"/>
          <w:lang w:val="zh-CN"/>
        </w:rPr>
        <w:t>改进措施和有关建议</w:t>
      </w:r>
    </w:p>
    <w:p>
      <w:pPr>
        <w:keepNext/>
        <w:keepLines/>
        <w:numPr>
          <w:ilvl w:val="0"/>
          <w:numId w:val="0"/>
        </w:numPr>
        <w:suppressLineNumbers/>
        <w:shd w:val="clear" w:color="auto" w:fill="FFFFFF"/>
        <w:spacing w:line="480" w:lineRule="atLeast"/>
        <w:ind w:firstLine="320" w:firstLineChars="10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下一步改进措施，督促各业务处室细化年度预算，加强项目预算执行监督和管理，提高资金预算执行率，充分发挥财政资金的效益。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16" w:firstLineChars="200"/>
        <w:textAlignment w:val="auto"/>
        <w:rPr>
          <w:rFonts w:ascii="黑体" w:hAnsi="黑体" w:eastAsia="黑体"/>
          <w:spacing w:val="-6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16" w:firstLineChars="200"/>
        <w:textAlignment w:val="auto"/>
        <w:rPr>
          <w:rFonts w:eastAsia="仿宋_GB2312"/>
          <w:spacing w:val="-6"/>
          <w:sz w:val="32"/>
          <w:szCs w:val="32"/>
          <w:lang w:val="zh-CN"/>
        </w:rPr>
      </w:pPr>
      <w:r>
        <w:rPr>
          <w:rFonts w:eastAsia="仿宋_GB2312"/>
          <w:spacing w:val="-6"/>
          <w:sz w:val="32"/>
          <w:szCs w:val="32"/>
          <w:lang w:val="zh-CN"/>
        </w:rPr>
        <w:t>附:自评相关表和依据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eastAsia="仿宋_GB2312"/>
          <w:szCs w:val="32"/>
        </w:rPr>
      </w:pPr>
      <w:r>
        <w:rPr>
          <w:rFonts w:ascii="黑体" w:hAnsi="黑体" w:eastAsia="黑体"/>
          <w:sz w:val="32"/>
          <w:szCs w:val="32"/>
        </w:rPr>
        <w:t>七、报告附表</w:t>
      </w:r>
      <w:r>
        <w:rPr>
          <w:rFonts w:eastAsia="仿宋_GB2312"/>
          <w:sz w:val="32"/>
          <w:szCs w:val="32"/>
        </w:rPr>
        <w:t>（为详细说明情况，单位根据实际，可在此表格基础上补充基础数据信息表）</w:t>
      </w:r>
    </w:p>
    <w:tbl>
      <w:tblPr>
        <w:tblStyle w:val="4"/>
        <w:tblW w:w="93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64"/>
        <w:gridCol w:w="247"/>
        <w:gridCol w:w="639"/>
        <w:gridCol w:w="778"/>
        <w:gridCol w:w="674"/>
        <w:gridCol w:w="80"/>
        <w:gridCol w:w="947"/>
        <w:gridCol w:w="1276"/>
        <w:gridCol w:w="992"/>
        <w:gridCol w:w="426"/>
        <w:gridCol w:w="81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一、基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单位负责人</w:t>
            </w:r>
          </w:p>
        </w:tc>
        <w:tc>
          <w:tcPr>
            <w:tcW w:w="23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杨贵峰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45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2728041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单位地址</w:t>
            </w:r>
          </w:p>
        </w:tc>
        <w:tc>
          <w:tcPr>
            <w:tcW w:w="23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泉湖路中段盛大大厦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 编</w:t>
            </w:r>
          </w:p>
        </w:tc>
        <w:tc>
          <w:tcPr>
            <w:tcW w:w="45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741020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预算起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止时间</w:t>
            </w:r>
          </w:p>
        </w:tc>
        <w:tc>
          <w:tcPr>
            <w:tcW w:w="789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 xml:space="preserve"> 月起至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eastAsia="仿宋_GB2312"/>
                <w:sz w:val="28"/>
                <w:szCs w:val="28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预算安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364.13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实际到位资金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364.13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364.13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中央财政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</w:rPr>
              <w:t>中央财政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pacing w:val="-22"/>
                <w:sz w:val="28"/>
                <w:szCs w:val="28"/>
              </w:rPr>
            </w:pPr>
            <w:r>
              <w:rPr>
                <w:rFonts w:hint="eastAsia" w:eastAsia="仿宋_GB2312"/>
                <w:spacing w:val="-22"/>
                <w:sz w:val="28"/>
                <w:szCs w:val="28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pacing w:val="-22"/>
                <w:sz w:val="28"/>
                <w:szCs w:val="28"/>
              </w:rPr>
            </w:pPr>
            <w:r>
              <w:rPr>
                <w:rFonts w:hint="eastAsia" w:eastAsia="仿宋_GB2312"/>
                <w:spacing w:val="-22"/>
                <w:sz w:val="28"/>
                <w:szCs w:val="28"/>
              </w:rPr>
              <w:t>中央财政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中央财政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  财政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364.13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县市区财政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364.13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 财政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364.13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 财政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二、部门单位支出明细情况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支出内容</w:t>
            </w: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实际支出数</w:t>
            </w: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会计凭证号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人员经费</w:t>
            </w: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186.1</w:t>
            </w: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公用经费</w:t>
            </w: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12.56</w:t>
            </w: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项目支出</w:t>
            </w: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165.48</w:t>
            </w: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支出合计</w:t>
            </w: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  <w:t>364.13</w:t>
            </w: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三、社会影响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四、部门整体绩效自评情况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10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预  期 目 标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03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510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政管局及政务大厅各项工作正常运转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政管局及政务大厅各项工作运转正常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绩效定量目标（指标）及完成情况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一级指标</w:t>
            </w:r>
          </w:p>
        </w:tc>
        <w:tc>
          <w:tcPr>
            <w:tcW w:w="15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二级指标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内容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指标（目标）值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产出指标</w:t>
            </w:r>
          </w:p>
        </w:tc>
        <w:tc>
          <w:tcPr>
            <w:tcW w:w="15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数量指标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政务大厅正常运转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100M光纤使用率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质量指标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政务大厅正常运转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持续优化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持续优化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优化业务办理速度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持续优化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持续优化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时效指标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完成时间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年底完成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年底完成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成本指标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成本增加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房租电费增加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持续优化办公环境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效益指标</w:t>
            </w:r>
          </w:p>
        </w:tc>
        <w:tc>
          <w:tcPr>
            <w:tcW w:w="15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经济效益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大厅业务规范化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规范化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规范化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可持续影响指标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大厅业务满意度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92%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01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01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39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五、评价人员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职称/职务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  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1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杨贵峰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局长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麦积区政务服务管理局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1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孙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毅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麦积区政务服务管理局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1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王丙成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麦积区政务服务管理局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exact"/>
          <w:jc w:val="center"/>
        </w:trPr>
        <w:tc>
          <w:tcPr>
            <w:tcW w:w="939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评价组组长（签字）：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beforeLines="50" w:after="217" w:afterLines="50"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38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9393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beforeLines="50" w:after="217" w:afterLines="50"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38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财政局主管股室意见：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beforeLines="50" w:after="217" w:afterLines="50"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>
      <w:r>
        <w:rPr>
          <w:rFonts w:hint="eastAsia" w:eastAsia="仿宋_GB2312" w:cs="仿宋_GB2312"/>
          <w:bCs/>
          <w:sz w:val="24"/>
          <w:szCs w:val="24"/>
        </w:rPr>
        <w:t>填报人（签名）： 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F7FC3"/>
    <w:multiLevelType w:val="singleLevel"/>
    <w:tmpl w:val="428F7FC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ZDA3NmE0ODNiNWNkMTA5NTc2YzU5OWJlNjcxOGQifQ=="/>
  </w:docVars>
  <w:rsids>
    <w:rsidRoot w:val="00000000"/>
    <w:rsid w:val="1A1B267C"/>
    <w:rsid w:val="1BF248D9"/>
    <w:rsid w:val="217A1E7B"/>
    <w:rsid w:val="24712230"/>
    <w:rsid w:val="2F183F0A"/>
    <w:rsid w:val="32EF240C"/>
    <w:rsid w:val="3DAC2C6F"/>
    <w:rsid w:val="3DE00A63"/>
    <w:rsid w:val="46436372"/>
    <w:rsid w:val="466A4F1D"/>
    <w:rsid w:val="543A1640"/>
    <w:rsid w:val="64A85397"/>
    <w:rsid w:val="7C0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val="en-US" w:eastAsia="zh-CN" w:bidi="ar"/>
    </w:rPr>
  </w:style>
  <w:style w:type="character" w:customStyle="1" w:styleId="5">
    <w:name w:val="font12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1899</Words>
  <Characters>2058</Characters>
  <Lines>0</Lines>
  <Paragraphs>0</Paragraphs>
  <TotalTime>2</TotalTime>
  <ScaleCrop>false</ScaleCrop>
  <LinksUpToDate>false</LinksUpToDate>
  <CharactersWithSpaces>2518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2021-02-22T00:44:00Z</dcterms:created>
  <dc:creator>DELL</dc:creator>
  <cp:lastModifiedBy>Administrator</cp:lastModifiedBy>
  <dcterms:modified xsi:type="dcterms:W3CDTF">2023-08-24T07:50:48Z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  <property fmtid="{D5CDD505-2E9C-101B-9397-08002B2CF9AE}" pid="3" name="ICV">
    <vt:lpwstr>3E0A2E561E374D8B8A5B2C75D7D94A04</vt:lpwstr>
  </property>
</Properties>
</file>