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FDD8">
      <w:pPr>
        <w:spacing w:beforeLines="0" w:afterLines="0" w:line="576"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关于20</w:t>
      </w:r>
      <w:r>
        <w:rPr>
          <w:rFonts w:hint="eastAsia" w:ascii="方正小标宋简体" w:hAnsi="方正小标宋简体" w:eastAsia="方正小标宋简体"/>
          <w:sz w:val="44"/>
          <w:lang w:val="en-US" w:eastAsia="zh-CN"/>
        </w:rPr>
        <w:t>24</w:t>
      </w:r>
      <w:r>
        <w:rPr>
          <w:rFonts w:hint="eastAsia" w:ascii="方正小标宋简体" w:hAnsi="方正小标宋简体" w:eastAsia="方正小标宋简体"/>
          <w:sz w:val="44"/>
        </w:rPr>
        <w:t>年</w:t>
      </w:r>
      <w:r>
        <w:rPr>
          <w:rFonts w:hint="eastAsia" w:ascii="方正小标宋简体" w:hAnsi="方正小标宋简体" w:eastAsia="方正小标宋简体"/>
          <w:sz w:val="44"/>
          <w:lang w:val="en-US" w:eastAsia="zh-CN"/>
        </w:rPr>
        <w:t>市</w:t>
      </w:r>
      <w:r>
        <w:rPr>
          <w:rFonts w:hint="eastAsia" w:ascii="方正小标宋简体" w:hAnsi="方正小标宋简体" w:eastAsia="方正小标宋简体"/>
          <w:sz w:val="44"/>
        </w:rPr>
        <w:t>对我区转移支付决算的说明</w:t>
      </w:r>
    </w:p>
    <w:p w14:paraId="5355499A">
      <w:pPr>
        <w:spacing w:beforeLines="0" w:afterLines="0" w:line="576" w:lineRule="exact"/>
        <w:rPr>
          <w:rFonts w:hint="default" w:ascii="Times New Roman" w:hAnsi="Times New Roman" w:eastAsia="仿宋"/>
          <w:sz w:val="32"/>
        </w:rPr>
      </w:pPr>
    </w:p>
    <w:p w14:paraId="1352D22C">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202</w:t>
      </w:r>
      <w:r>
        <w:rPr>
          <w:rFonts w:hint="eastAsia" w:ascii="Times New Roman" w:hAnsi="Times New Roman" w:eastAsia="仿宋_GB2312" w:cs="Times New Roman"/>
          <w:color w:val="auto"/>
          <w:spacing w:val="0"/>
          <w:kern w:val="0"/>
          <w:sz w:val="32"/>
          <w:szCs w:val="32"/>
          <w:highlight w:val="none"/>
          <w:lang w:val="en-US" w:eastAsia="zh-CN"/>
        </w:rPr>
        <w:t>4</w:t>
      </w:r>
      <w:r>
        <w:rPr>
          <w:rFonts w:hint="default" w:ascii="Times New Roman" w:hAnsi="Times New Roman" w:eastAsia="仿宋_GB2312" w:cs="Times New Roman"/>
          <w:color w:val="auto"/>
          <w:spacing w:val="0"/>
          <w:kern w:val="0"/>
          <w:sz w:val="32"/>
          <w:szCs w:val="32"/>
          <w:highlight w:val="none"/>
          <w:lang w:val="en-US" w:eastAsia="zh-CN"/>
        </w:rPr>
        <w:t>年上级下达</w:t>
      </w:r>
      <w:r>
        <w:rPr>
          <w:rFonts w:hint="eastAsia" w:ascii="Times New Roman" w:hAnsi="Times New Roman" w:eastAsia="仿宋_GB2312" w:cs="Times New Roman"/>
          <w:color w:val="auto"/>
          <w:spacing w:val="0"/>
          <w:kern w:val="0"/>
          <w:sz w:val="32"/>
          <w:szCs w:val="32"/>
          <w:highlight w:val="none"/>
          <w:lang w:val="en-US" w:eastAsia="zh-CN"/>
        </w:rPr>
        <w:t>我区</w:t>
      </w:r>
      <w:bookmarkStart w:id="0" w:name="_GoBack"/>
      <w:bookmarkEnd w:id="0"/>
      <w:r>
        <w:rPr>
          <w:rFonts w:hint="default" w:ascii="Times New Roman" w:hAnsi="Times New Roman" w:eastAsia="仿宋_GB2312" w:cs="Times New Roman"/>
          <w:color w:val="auto"/>
          <w:spacing w:val="0"/>
          <w:kern w:val="0"/>
          <w:sz w:val="32"/>
          <w:szCs w:val="32"/>
          <w:highlight w:val="none"/>
          <w:lang w:val="en-US" w:eastAsia="zh-CN"/>
        </w:rPr>
        <w:t>转移支付资金</w:t>
      </w:r>
      <w:r>
        <w:rPr>
          <w:rFonts w:hint="eastAsia" w:ascii="Times New Roman" w:hAnsi="Times New Roman" w:eastAsia="仿宋_GB2312" w:cs="Times New Roman"/>
          <w:color w:val="auto"/>
          <w:spacing w:val="0"/>
          <w:kern w:val="0"/>
          <w:sz w:val="32"/>
          <w:szCs w:val="32"/>
          <w:highlight w:val="none"/>
          <w:lang w:val="en-US" w:eastAsia="zh-CN"/>
        </w:rPr>
        <w:t>400068</w:t>
      </w:r>
      <w:r>
        <w:rPr>
          <w:rFonts w:hint="default" w:ascii="Times New Roman" w:hAnsi="Times New Roman" w:eastAsia="仿宋_GB2312" w:cs="Times New Roman"/>
          <w:color w:val="auto"/>
          <w:spacing w:val="0"/>
          <w:kern w:val="0"/>
          <w:sz w:val="32"/>
          <w:szCs w:val="32"/>
          <w:highlight w:val="none"/>
          <w:lang w:val="en-US" w:eastAsia="zh-CN"/>
        </w:rPr>
        <w:t>万元。其中：一般公共预算转移支付</w:t>
      </w:r>
      <w:r>
        <w:rPr>
          <w:rFonts w:hint="eastAsia" w:ascii="Times New Roman" w:hAnsi="Times New Roman" w:eastAsia="仿宋_GB2312" w:cs="Times New Roman"/>
          <w:color w:val="auto"/>
          <w:spacing w:val="0"/>
          <w:kern w:val="0"/>
          <w:sz w:val="32"/>
          <w:szCs w:val="32"/>
          <w:highlight w:val="none"/>
          <w:lang w:val="en-US" w:eastAsia="zh-CN"/>
        </w:rPr>
        <w:t>373240</w:t>
      </w:r>
      <w:r>
        <w:rPr>
          <w:rFonts w:hint="default" w:ascii="Times New Roman" w:hAnsi="Times New Roman" w:eastAsia="仿宋_GB2312" w:cs="Times New Roman"/>
          <w:color w:val="auto"/>
          <w:spacing w:val="0"/>
          <w:kern w:val="0"/>
          <w:sz w:val="32"/>
          <w:szCs w:val="32"/>
          <w:highlight w:val="none"/>
          <w:lang w:val="en-US" w:eastAsia="zh-CN"/>
        </w:rPr>
        <w:t>万元（</w:t>
      </w:r>
      <w:r>
        <w:rPr>
          <w:rFonts w:hint="default" w:ascii="Times New Roman" w:hAnsi="Times New Roman" w:eastAsia="仿宋_GB2312" w:cs="Times New Roman"/>
          <w:b w:val="0"/>
          <w:bCs w:val="0"/>
          <w:color w:val="auto"/>
          <w:spacing w:val="0"/>
          <w:kern w:val="0"/>
          <w:sz w:val="32"/>
          <w:szCs w:val="32"/>
          <w:highlight w:val="none"/>
          <w:lang w:val="en-US" w:eastAsia="zh-CN"/>
        </w:rPr>
        <w:t>一般性转移支付</w:t>
      </w:r>
      <w:r>
        <w:rPr>
          <w:rFonts w:hint="eastAsia" w:ascii="Times New Roman" w:hAnsi="Times New Roman" w:eastAsia="仿宋_GB2312" w:cs="Times New Roman"/>
          <w:b w:val="0"/>
          <w:bCs w:val="0"/>
          <w:color w:val="auto"/>
          <w:spacing w:val="0"/>
          <w:kern w:val="0"/>
          <w:sz w:val="32"/>
          <w:szCs w:val="32"/>
          <w:highlight w:val="none"/>
          <w:lang w:val="en-US" w:eastAsia="zh-CN"/>
        </w:rPr>
        <w:t>345140</w:t>
      </w:r>
      <w:r>
        <w:rPr>
          <w:rFonts w:hint="default" w:ascii="Times New Roman" w:hAnsi="Times New Roman" w:eastAsia="仿宋_GB2312" w:cs="Times New Roman"/>
          <w:b w:val="0"/>
          <w:bCs w:val="0"/>
          <w:color w:val="auto"/>
          <w:spacing w:val="0"/>
          <w:kern w:val="0"/>
          <w:sz w:val="32"/>
          <w:szCs w:val="32"/>
          <w:highlight w:val="none"/>
          <w:lang w:val="en-US" w:eastAsia="zh-CN"/>
        </w:rPr>
        <w:t>万元、</w:t>
      </w:r>
      <w:r>
        <w:rPr>
          <w:rFonts w:hint="default" w:ascii="Times New Roman" w:hAnsi="Times New Roman" w:eastAsia="仿宋_GB2312" w:cs="Times New Roman"/>
          <w:color w:val="auto"/>
          <w:spacing w:val="-6"/>
          <w:kern w:val="0"/>
          <w:sz w:val="32"/>
          <w:szCs w:val="32"/>
          <w:highlight w:val="none"/>
          <w:u w:val="none"/>
          <w:lang w:val="en-US" w:eastAsia="zh-CN"/>
        </w:rPr>
        <w:t>专</w:t>
      </w:r>
      <w:r>
        <w:rPr>
          <w:rFonts w:hint="default" w:ascii="Times New Roman" w:hAnsi="Times New Roman" w:eastAsia="仿宋_GB2312" w:cs="Times New Roman"/>
          <w:color w:val="auto"/>
          <w:spacing w:val="-6"/>
          <w:kern w:val="0"/>
          <w:sz w:val="32"/>
          <w:szCs w:val="32"/>
          <w:highlight w:val="none"/>
          <w:lang w:val="en-US" w:eastAsia="zh-CN"/>
        </w:rPr>
        <w:t>项转移支付</w:t>
      </w:r>
      <w:r>
        <w:rPr>
          <w:rFonts w:hint="eastAsia" w:ascii="Times New Roman" w:hAnsi="Times New Roman" w:eastAsia="仿宋_GB2312" w:cs="Times New Roman"/>
          <w:color w:val="auto"/>
          <w:spacing w:val="-6"/>
          <w:kern w:val="0"/>
          <w:sz w:val="32"/>
          <w:szCs w:val="32"/>
          <w:highlight w:val="none"/>
          <w:lang w:val="en-US" w:eastAsia="zh-CN"/>
        </w:rPr>
        <w:t>28100</w:t>
      </w:r>
      <w:r>
        <w:rPr>
          <w:rFonts w:hint="default" w:ascii="Times New Roman" w:hAnsi="Times New Roman" w:eastAsia="仿宋_GB2312" w:cs="Times New Roman"/>
          <w:color w:val="auto"/>
          <w:spacing w:val="-6"/>
          <w:kern w:val="0"/>
          <w:sz w:val="32"/>
          <w:szCs w:val="32"/>
          <w:highlight w:val="none"/>
          <w:lang w:val="en-US" w:eastAsia="zh-CN"/>
        </w:rPr>
        <w:t>万元），</w:t>
      </w:r>
      <w:r>
        <w:rPr>
          <w:rFonts w:hint="default" w:ascii="Times New Roman" w:hAnsi="Times New Roman" w:eastAsia="仿宋_GB2312" w:cs="Times New Roman"/>
          <w:b w:val="0"/>
          <w:bCs w:val="0"/>
          <w:color w:val="auto"/>
          <w:spacing w:val="-6"/>
          <w:kern w:val="0"/>
          <w:sz w:val="32"/>
          <w:szCs w:val="32"/>
          <w:highlight w:val="none"/>
          <w:lang w:val="en-US" w:eastAsia="zh-CN"/>
        </w:rPr>
        <w:t>政府性基金预算转移支付</w:t>
      </w:r>
      <w:r>
        <w:rPr>
          <w:rFonts w:hint="eastAsia" w:ascii="Times New Roman" w:hAnsi="Times New Roman" w:eastAsia="仿宋_GB2312" w:cs="Times New Roman"/>
          <w:b w:val="0"/>
          <w:bCs w:val="0"/>
          <w:color w:val="auto"/>
          <w:spacing w:val="-6"/>
          <w:kern w:val="0"/>
          <w:sz w:val="32"/>
          <w:szCs w:val="32"/>
          <w:highlight w:val="none"/>
          <w:lang w:val="en-US" w:eastAsia="zh-CN"/>
        </w:rPr>
        <w:t>26590</w:t>
      </w:r>
      <w:r>
        <w:rPr>
          <w:rFonts w:hint="default" w:ascii="Times New Roman" w:hAnsi="Times New Roman" w:eastAsia="仿宋_GB2312" w:cs="Times New Roman"/>
          <w:b w:val="0"/>
          <w:bCs w:val="0"/>
          <w:color w:val="auto"/>
          <w:spacing w:val="-6"/>
          <w:kern w:val="0"/>
          <w:sz w:val="32"/>
          <w:szCs w:val="32"/>
          <w:highlight w:val="none"/>
          <w:lang w:val="en-US" w:eastAsia="zh-CN"/>
        </w:rPr>
        <w:t>万元，国有资本经营预算转移支付</w:t>
      </w:r>
      <w:r>
        <w:rPr>
          <w:rFonts w:hint="eastAsia" w:ascii="Times New Roman" w:hAnsi="Times New Roman" w:eastAsia="仿宋_GB2312" w:cs="Times New Roman"/>
          <w:b w:val="0"/>
          <w:bCs w:val="0"/>
          <w:color w:val="auto"/>
          <w:spacing w:val="-6"/>
          <w:kern w:val="0"/>
          <w:sz w:val="32"/>
          <w:szCs w:val="32"/>
          <w:highlight w:val="none"/>
          <w:lang w:val="en-US" w:eastAsia="zh-CN"/>
        </w:rPr>
        <w:t>238</w:t>
      </w:r>
      <w:r>
        <w:rPr>
          <w:rFonts w:hint="default" w:ascii="Times New Roman" w:hAnsi="Times New Roman" w:eastAsia="仿宋_GB2312" w:cs="Times New Roman"/>
          <w:b w:val="0"/>
          <w:bCs w:val="0"/>
          <w:color w:val="auto"/>
          <w:spacing w:val="-6"/>
          <w:kern w:val="0"/>
          <w:sz w:val="32"/>
          <w:szCs w:val="32"/>
          <w:highlight w:val="none"/>
          <w:lang w:val="en-US" w:eastAsia="zh-CN"/>
        </w:rPr>
        <w:t>万元。</w:t>
      </w:r>
    </w:p>
    <w:p w14:paraId="02A44486">
      <w:pPr>
        <w:keepNext w:val="0"/>
        <w:keepLines w:val="0"/>
        <w:pageBreakBefore w:val="0"/>
        <w:widowControl w:val="0"/>
        <w:kinsoku/>
        <w:wordWrap/>
        <w:overflowPunct/>
        <w:topLinePunct w:val="0"/>
        <w:autoSpaceDE/>
        <w:autoSpaceDN/>
        <w:bidi w:val="0"/>
        <w:adjustRightInd/>
        <w:snapToGrid/>
        <w:spacing w:line="576" w:lineRule="exact"/>
        <w:ind w:right="0" w:rightChars="0"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对上级下达我区的均衡性转移支付收入、县级基本财力保障机制奖补资金收入、结算补助收入、企事业单位划转补助收入、重点生态功能区转移支付收入、固定数额补助收入等财力性转移支付，按要求统筹安排用于</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保基本民生、保工资、保运转</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等三保支出和民生领域等重点支出。其余具有专项性质的一般性转移支付和专项转移支付资金全部按资金管理办法和使用要求专款专用。</w:t>
      </w:r>
    </w:p>
    <w:p w14:paraId="57B0930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sz w:val="32"/>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ZGY4NjE1ZjY4ODJhYjc1MjMzNjMxODY2YjJlMDEifQ=="/>
  </w:docVars>
  <w:rsids>
    <w:rsidRoot w:val="00172A27"/>
    <w:rsid w:val="062C444D"/>
    <w:rsid w:val="33C264EA"/>
    <w:rsid w:val="48735FAD"/>
    <w:rsid w:val="4EBD436E"/>
    <w:rsid w:val="65DC1EC3"/>
    <w:rsid w:val="76646335"/>
    <w:rsid w:val="7A22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2">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302</Characters>
  <Lines>0</Lines>
  <Paragraphs>0</Paragraphs>
  <TotalTime>2</TotalTime>
  <ScaleCrop>false</ScaleCrop>
  <LinksUpToDate>false</LinksUpToDate>
  <CharactersWithSpaces>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2022-10-14T06:42:00Z</dcterms:created>
  <dc:creator>Administrator</dc:creator>
  <cp:lastModifiedBy>DELL</cp:lastModifiedBy>
  <dcterms:modified xsi:type="dcterms:W3CDTF">2025-09-04T09:26:11Z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902DAF7940C548CAA585C9E348623BDB_13</vt:lpwstr>
  </property>
  <property fmtid="{D5CDD505-2E9C-101B-9397-08002B2CF9AE}" pid="4" name="KSOTemplateDocerSaveRecord">
    <vt:lpwstr>eyJoZGlkIjoiMzY0ZGY4NjE1ZjY4ODJhYjc1MjMzNjMxODY2YjJlMDEifQ==</vt:lpwstr>
  </property>
</Properties>
</file>