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关于2022年全区一般公共预算收入决算的说明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2022年，全区大口径财政收入完成130291万元（考虑增值税留抵退税因素173182万元），为预算189633万元的68.71%，同比减少43.8%，减收101547万元。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1.1.一般公共预算收支决算情况。一般公共预算收入总量574074万元，其中：一般公共预算收入59523万元（考虑增值税留抵退税因素68529万元），为预算75400万元的78.94%，同比减少21.88%，减收16668万元；上级补助收入395240万元；上年结转78656万元；国有资本经营预算调入资金8万元；从其他资金调入11400万元；地方政府一般债务转贷收入17255万元；动用预算稳定调节基金11992万元。一般公共预算支出总量574074万元，为预算573662万元的100.07%。其中：一般公共预算支出415638万元，为预算415224万元的100.1%；专项上解支出9308万元；地方政府一般债券还本支出10824万元；安排预算稳定调节基金20282万元；年终结转资金118022万元。年终收支平衡。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收入分税种完成情况是：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增值税3300万元，为预算10928万元的30.2%；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企业所得税2718万元，为预算4000万元的67.95%；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个人所得税1067万元，为预算1200万元的88.92%；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土地增值税9910万元，为预算10000万元的99.1%；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资源税270万元，为预算280万元的96.43%；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城市维护建设税2530万元，为预算2520万元的100.4%；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房产税4630万元，为预算5000万元的92.6%；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印花税1446万元，为预算2200万元的65.73%；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城镇土地使用税4914万元，为预算5000万元的98.28%；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车船税2459万元，为预算2400万元的102.46%；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契税8966万元，为预算19500万元的45.98%；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耕地占用税3130万元，为预算2000万元的156.5%；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环保税123万元，为预算112万元的109.82%；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专项收入8622万元，为预算6138万元的140.47%；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国有资源（资产）有偿使用费收入2738万元，为预算1372万元的199.56%；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行政性收费收入843万元，为预算950万元的88.74%；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罚没收入1725万元，为预算1800万元的95.83%；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 xml:space="preserve">政府住房基金收入3万元，捐赠收入129万元。  </w:t>
      </w:r>
    </w:p>
    <w:p>
      <w:pPr>
        <w:ind w:firstLine="640" w:firstLineChars="200"/>
        <w:rPr>
          <w:rFonts w:hint="default" w:eastAsia="仿宋_GB2312"/>
          <w:color w:val="auto"/>
          <w:lang w:val="en-US" w:eastAsia="zh-CN"/>
        </w:rPr>
      </w:pPr>
      <w:r>
        <w:rPr>
          <w:rFonts w:hint="eastAsia" w:eastAsia="仿宋_GB2312" w:asciiTheme="minorHAnsi" w:hAnsiTheme="minorHAnsi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全区大口径财政收入完成130291万元（考虑增值税留抵退税因素173182万元），为预算189633万元的68.71%，较上年减收101547万元，同比</w:t>
      </w:r>
      <w:r>
        <w:rPr>
          <w:rFonts w:hint="eastAsia" w:eastAsia="仿宋_GB2312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下降</w:t>
      </w:r>
      <w:r>
        <w:rPr>
          <w:rFonts w:hint="eastAsia" w:eastAsia="仿宋_GB2312" w:asciiTheme="minorHAnsi" w:hAnsiTheme="minorHAnsi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43.8%。其中</w:t>
      </w:r>
      <w:r>
        <w:rPr>
          <w:rFonts w:hint="eastAsia" w:eastAsia="仿宋_GB2312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一般</w:t>
      </w:r>
      <w:r>
        <w:rPr>
          <w:rFonts w:hint="eastAsia" w:eastAsia="仿宋_GB2312" w:asciiTheme="minorHAnsi" w:hAnsiTheme="minorHAnsi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公共预算收入完成</w:t>
      </w:r>
      <w:r>
        <w:rPr>
          <w:rFonts w:hint="eastAsia" w:eastAsia="仿宋_GB2312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59523</w:t>
      </w:r>
      <w:r>
        <w:rPr>
          <w:rFonts w:hint="eastAsia" w:eastAsia="仿宋_GB2312" w:asciiTheme="minorHAnsi" w:hAnsiTheme="minorHAnsi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万元（考虑增值税留抵退税因素</w:t>
      </w:r>
      <w:r>
        <w:rPr>
          <w:rFonts w:hint="eastAsia" w:eastAsia="仿宋_GB2312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68529</w:t>
      </w:r>
      <w:r>
        <w:rPr>
          <w:rFonts w:hint="eastAsia" w:eastAsia="仿宋_GB2312" w:asciiTheme="minorHAnsi" w:hAnsiTheme="minorHAnsi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万元），减收</w:t>
      </w:r>
      <w:r>
        <w:rPr>
          <w:rFonts w:hint="eastAsia" w:eastAsia="仿宋_GB2312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16668</w:t>
      </w:r>
      <w:r>
        <w:rPr>
          <w:rFonts w:hint="eastAsia" w:eastAsia="仿宋_GB2312" w:asciiTheme="minorHAnsi" w:hAnsiTheme="minorHAnsi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万元，同比</w:t>
      </w:r>
      <w:r>
        <w:rPr>
          <w:rFonts w:hint="eastAsia" w:eastAsia="仿宋_GB2312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下降21.88</w:t>
      </w:r>
      <w:r>
        <w:rPr>
          <w:rFonts w:hint="eastAsia" w:eastAsia="仿宋_GB2312" w:asciiTheme="minorHAnsi" w:hAnsiTheme="minorHAnsi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%</w:t>
      </w:r>
      <w:r>
        <w:rPr>
          <w:rFonts w:hint="eastAsia" w:eastAsia="仿宋_GB2312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。受经济形势下行压力加大、疫情反复影响市场预期、投资消费需求收缩、大规模退税减税降费、房地产政策调控等多重因素的影响，全区财政收入呈现增速放缓和增长乏力的态势，</w:t>
      </w:r>
      <w:r>
        <w:rPr>
          <w:rFonts w:hint="eastAsia" w:eastAsia="仿宋_GB2312" w:asciiTheme="minorHAnsi" w:hAnsiTheme="minorHAnsi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增值税、企业所得税和个人所得税三大主体税种</w:t>
      </w:r>
      <w:r>
        <w:rPr>
          <w:rFonts w:hint="eastAsia" w:eastAsia="仿宋_GB2312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分别下降61.73</w:t>
      </w:r>
      <w:r>
        <w:rPr>
          <w:rFonts w:hint="eastAsia" w:eastAsia="仿宋_GB2312" w:asciiTheme="minorHAnsi" w:hAnsiTheme="minorHAnsi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%</w:t>
      </w:r>
      <w:r>
        <w:rPr>
          <w:rFonts w:hint="eastAsia" w:eastAsia="仿宋_GB2312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、31.74</w:t>
      </w:r>
      <w:r>
        <w:rPr>
          <w:rFonts w:hint="eastAsia" w:eastAsia="仿宋_GB2312" w:asciiTheme="minorHAnsi" w:hAnsiTheme="minorHAnsi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%</w:t>
      </w:r>
      <w:r>
        <w:rPr>
          <w:rFonts w:hint="eastAsia" w:eastAsia="仿宋_GB2312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和17.41</w:t>
      </w:r>
      <w:r>
        <w:rPr>
          <w:rFonts w:hint="eastAsia" w:eastAsia="仿宋_GB2312" w:asciiTheme="minorHAnsi" w:hAnsiTheme="minorHAnsi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%</w:t>
      </w:r>
      <w:r>
        <w:rPr>
          <w:rFonts w:hint="eastAsia" w:eastAsia="仿宋_GB2312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，城市维护建设税、印刷税和契税分别下降27.49</w:t>
      </w:r>
      <w:r>
        <w:rPr>
          <w:rFonts w:hint="eastAsia" w:eastAsia="仿宋_GB2312" w:asciiTheme="minorHAnsi" w:hAnsiTheme="minorHAnsi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%</w:t>
      </w:r>
      <w:r>
        <w:rPr>
          <w:rFonts w:hint="eastAsia" w:eastAsia="仿宋_GB2312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、50.68</w:t>
      </w:r>
      <w:r>
        <w:rPr>
          <w:rFonts w:hint="eastAsia" w:eastAsia="仿宋_GB2312" w:asciiTheme="minorHAnsi" w:hAnsiTheme="minorHAnsi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%</w:t>
      </w:r>
      <w:r>
        <w:rPr>
          <w:rFonts w:hint="eastAsia" w:eastAsia="仿宋_GB2312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和57.73</w:t>
      </w:r>
      <w:r>
        <w:rPr>
          <w:rFonts w:hint="eastAsia" w:eastAsia="仿宋_GB2312" w:asciiTheme="minorHAnsi" w:hAnsiTheme="minorHAnsi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%</w:t>
      </w:r>
      <w:r>
        <w:rPr>
          <w:rFonts w:hint="eastAsia" w:eastAsia="仿宋_GB2312" w:cstheme="minorBidi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。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支出分科目完成情况是：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一般公共服务支出32165万元，为预算40121万元的80.17%；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公共安全支出14543万元，为预算17648万元的82.41%；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教育支出87916万元，为预算106398万元的82.63%；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科学技术支出593万元，为预算1986万元的29.86%；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文化旅游体育与传媒支出4041万元，为预算5731万元的70.51 %；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社会保障和就业支出76787万元，为预算86675万元的88.59%；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卫生健康支出28626万元，为预算38024万元的75.28%；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节能环保支出9801万元，为预算18816万元的52.09%；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城乡社区支出31545万元，为预算39246万元的80.38%；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农林水支出97708万元，为预算130957万元的74.61%；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交通运输支出6671万元，为预算9133万元的73.04%；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资源勘探工业信息等支出1052万元，为预算1274万元的82.57%；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商业服务业等支出497万元，为预算734万元的67.71%；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自然资源海洋气象等支出190万元，为预算211万元的90.05%；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住房保障支出16144万元，为预算27055万元的59.67%；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粮油物资储备支出817万元，为预算1541万元的53.02%；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灾害防治及应急管理支出2643万元，为预算4131万元的63.98%；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其他支出10万元，为预算90万元的11.11%；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债务付息支出3870万元，为预算3870万元的100%；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债务发行费用支出19万元，为预算19万元的100%。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C00000"/>
          <w:spacing w:val="0"/>
          <w:kern w:val="0"/>
          <w:sz w:val="32"/>
          <w:szCs w:val="24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202</w:t>
      </w:r>
      <w:r>
        <w:rPr>
          <w:rFonts w:hint="eastAsia" w:eastAsia="仿宋_GB2312"/>
          <w:color w:val="auto"/>
          <w:sz w:val="32"/>
          <w:szCs w:val="24"/>
          <w:highlight w:val="none"/>
          <w:lang w:val="en-US" w:eastAsia="zh-CN"/>
        </w:rPr>
        <w:t>2</w:t>
      </w:r>
      <w:r>
        <w:rPr>
          <w:rFonts w:hint="eastAsia" w:eastAsia="仿宋_GB2312"/>
          <w:color w:val="auto"/>
          <w:sz w:val="32"/>
          <w:szCs w:val="24"/>
          <w:highlight w:val="none"/>
        </w:rPr>
        <w:t>年，</w:t>
      </w:r>
      <w:r>
        <w:rPr>
          <w:rFonts w:hint="eastAsia" w:eastAsia="仿宋_GB2312"/>
          <w:color w:val="auto"/>
          <w:sz w:val="32"/>
          <w:szCs w:val="24"/>
          <w:highlight w:val="none"/>
          <w:lang w:val="en-US" w:eastAsia="zh-CN"/>
        </w:rPr>
        <w:t>全区</w:t>
      </w:r>
      <w:r>
        <w:rPr>
          <w:rFonts w:hint="eastAsia" w:eastAsia="仿宋_GB2312"/>
          <w:color w:val="auto"/>
          <w:sz w:val="32"/>
          <w:szCs w:val="24"/>
          <w:highlight w:val="none"/>
        </w:rPr>
        <w:t>一般公共预算支出总量574074万元，为预算573662万元的100.07%</w:t>
      </w:r>
      <w:r>
        <w:rPr>
          <w:rFonts w:hint="eastAsia" w:eastAsia="仿宋_GB2312"/>
          <w:color w:val="auto"/>
          <w:sz w:val="32"/>
          <w:szCs w:val="24"/>
          <w:highlight w:val="none"/>
          <w:lang w:eastAsia="zh-CN"/>
        </w:rPr>
        <w:t>，</w:t>
      </w:r>
      <w:r>
        <w:rPr>
          <w:rFonts w:hint="eastAsia" w:eastAsia="仿宋_GB2312"/>
          <w:color w:val="auto"/>
          <w:sz w:val="32"/>
          <w:szCs w:val="24"/>
          <w:highlight w:val="none"/>
          <w:lang w:val="en-US" w:eastAsia="zh-CN"/>
        </w:rPr>
        <w:t>较上年增长15.46%</w:t>
      </w:r>
      <w:r>
        <w:rPr>
          <w:rFonts w:hint="eastAsia" w:eastAsia="仿宋_GB2312"/>
          <w:color w:val="auto"/>
          <w:sz w:val="32"/>
          <w:szCs w:val="24"/>
          <w:highlight w:val="none"/>
        </w:rPr>
        <w:t>。</w:t>
      </w:r>
      <w:r>
        <w:rPr>
          <w:rFonts w:hint="eastAsia" w:eastAsia="仿宋_GB2312"/>
          <w:color w:val="auto"/>
          <w:sz w:val="32"/>
          <w:szCs w:val="24"/>
          <w:highlight w:val="none"/>
          <w:lang w:val="en-US" w:eastAsia="zh-CN"/>
        </w:rPr>
        <w:t>区财政坚持量力而行、尽力而为，打足打实“三保”支出预算，全面落实中央和省上出台的养老、就业、教育、医疗等重大民生政策，保持民生投入只增不减，坚决托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24"/>
          <w:highlight w:val="none"/>
          <w:lang w:val="en-US" w:eastAsia="zh-CN"/>
        </w:rPr>
        <w:t>住基本民生需求底线，着力解决群众“急难愁盼”问题，兜牢兜实了民生底线。2022年全区教育、卫生健康、社会保障和就业、住房保障等11类民生支出达到362295万元，占一般公共预算支出的87.25%，省市区列为民办事实项目资金足额落实，人民群众的获得感、幸福感、安全感显著提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02F97"/>
    <w:rsid w:val="04C1529F"/>
    <w:rsid w:val="1ACE691A"/>
    <w:rsid w:val="1D2C4CE7"/>
    <w:rsid w:val="21C040A7"/>
    <w:rsid w:val="23424752"/>
    <w:rsid w:val="2B0D1BF4"/>
    <w:rsid w:val="38D02310"/>
    <w:rsid w:val="3AA83A6B"/>
    <w:rsid w:val="3C3005E9"/>
    <w:rsid w:val="3EEF5C6B"/>
    <w:rsid w:val="409E4BC6"/>
    <w:rsid w:val="6CEB6982"/>
    <w:rsid w:val="716C0FF6"/>
    <w:rsid w:val="71F45403"/>
    <w:rsid w:val="779620ED"/>
    <w:rsid w:val="7CD6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PWW-PC</dc:creator>
  <cp:lastModifiedBy>Administrator</cp:lastModifiedBy>
  <dcterms:modified xsi:type="dcterms:W3CDTF">2023-08-21T09:59:30Z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