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E28E2">
      <w:pPr>
        <w:pStyle w:val="3"/>
        <w:bidi w:val="0"/>
        <w:jc w:val="center"/>
        <w:rPr>
          <w:rFonts w:hint="eastAsia" w:ascii="Times New Roman" w:hAnsi="Times New Roman" w:eastAsia="仿宋_GB2312" w:cs="Times New Roman"/>
          <w:b w:val="0"/>
          <w:color w:val="000000"/>
          <w:spacing w:val="0"/>
          <w:kern w:val="2"/>
          <w:sz w:val="32"/>
          <w:szCs w:val="32"/>
          <w:highlight w:val="none"/>
          <w:lang w:val="en-US" w:eastAsia="zh-CN" w:bidi="ar-SA"/>
        </w:rPr>
      </w:pPr>
      <w:r>
        <w:rPr>
          <w:rFonts w:hint="eastAsia"/>
        </w:rPr>
        <w:t>20</w:t>
      </w:r>
      <w:r>
        <w:rPr>
          <w:rFonts w:hint="eastAsia"/>
          <w:lang w:val="en-US" w:eastAsia="zh-CN"/>
        </w:rPr>
        <w:t>23</w:t>
      </w:r>
      <w:r>
        <w:rPr>
          <w:rFonts w:hint="eastAsia"/>
        </w:rPr>
        <w:t>年度麦积区社保基金收支决算的说明</w:t>
      </w:r>
      <w:r>
        <w:rPr>
          <w:rFonts w:hint="eastAsia" w:eastAsia="仿宋_GB2312"/>
          <w:lang w:val="en-US" w:eastAsia="zh-CN"/>
        </w:rPr>
        <w:t xml:space="preserve"> </w:t>
      </w:r>
      <w:r>
        <w:rPr>
          <w:rFonts w:hint="eastAsia" w:ascii="Times New Roman" w:hAnsi="Times New Roman" w:eastAsia="仿宋_GB2312" w:cs="Times New Roman"/>
          <w:b w:val="0"/>
          <w:color w:val="000000"/>
          <w:spacing w:val="0"/>
          <w:kern w:val="2"/>
          <w:sz w:val="32"/>
          <w:szCs w:val="32"/>
          <w:highlight w:val="none"/>
          <w:lang w:val="en-US" w:eastAsia="zh-CN" w:bidi="ar-SA"/>
        </w:rPr>
        <w:t xml:space="preserve">   </w:t>
      </w:r>
    </w:p>
    <w:p w14:paraId="26904E0D">
      <w:pPr>
        <w:pStyle w:val="3"/>
        <w:keepNext/>
        <w:keepLines/>
        <w:pageBreakBefore w:val="0"/>
        <w:widowControl w:val="0"/>
        <w:kinsoku/>
        <w:wordWrap/>
        <w:overflowPunct/>
        <w:topLinePunct w:val="0"/>
        <w:autoSpaceDE/>
        <w:autoSpaceDN/>
        <w:bidi w:val="0"/>
        <w:adjustRightInd/>
        <w:snapToGrid/>
        <w:spacing w:before="0" w:after="0" w:line="800" w:lineRule="exact"/>
        <w:ind w:firstLine="640" w:firstLineChars="200"/>
        <w:jc w:val="left"/>
        <w:textAlignment w:val="auto"/>
        <w:rPr>
          <w:rFonts w:hint="eastAsia" w:ascii="Times New Roman" w:hAnsi="Times New Roman" w:eastAsia="仿宋_GB2312" w:cs="Times New Roman"/>
          <w:color w:val="000000"/>
          <w:sz w:val="32"/>
          <w:szCs w:val="24"/>
          <w:highlight w:val="none"/>
          <w:lang w:val="en-US" w:eastAsia="zh-CN"/>
        </w:rPr>
      </w:pPr>
      <w:r>
        <w:rPr>
          <w:rFonts w:hint="eastAsia" w:ascii="Times New Roman" w:hAnsi="Times New Roman" w:eastAsia="仿宋_GB2312" w:cs="Times New Roman"/>
          <w:b w:val="0"/>
          <w:color w:val="000000"/>
          <w:kern w:val="0"/>
          <w:sz w:val="32"/>
          <w:szCs w:val="24"/>
          <w:highlight w:val="none"/>
          <w:lang w:val="en-US" w:eastAsia="zh-CN" w:bidi="ar-SA"/>
        </w:rPr>
        <w:t>社会保险基金预算收入完成83252万元，为预算79370万元的104.89%。</w:t>
      </w:r>
      <w:bookmarkStart w:id="0" w:name="_GoBack"/>
      <w:bookmarkEnd w:id="0"/>
      <w:r>
        <w:rPr>
          <w:rFonts w:hint="eastAsia" w:ascii="Times New Roman" w:hAnsi="Times New Roman" w:eastAsia="仿宋_GB2312" w:cs="Times New Roman"/>
          <w:b w:val="0"/>
          <w:color w:val="000000"/>
          <w:kern w:val="0"/>
          <w:sz w:val="32"/>
          <w:szCs w:val="24"/>
          <w:highlight w:val="none"/>
          <w:lang w:val="en-US" w:eastAsia="zh-CN" w:bidi="ar-SA"/>
        </w:rPr>
        <w:t>其中：城乡居民基本养老保险基金收入41830万元，机关事业单位基本养老保险基金收入41422万元；社会保险基金预算支出80550万元，为预算72511万元的111.09%，同比增长6.22%。其中：城乡居民基本养老保险基金支出40155万元，机关事业单位基本养老保险基金支出40395万元。当年收支结余2702万元，年终滚存结余28927万元。批准预算后，受全区重大项目实施形成的失地农民养老增加等因素的影响，全年社会保险基金预算收入在批准预算79370万元的基础上增加3882万元，达到83252万元。另外，受全区重大项目实施形成的失地农民一次性养老支出及上解个人账户结余增加等因素的影响，社会保险基金预算支出在批准预算72511万元的基础上增加8039万元，达到80550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TUyYjA1NWM5YTZkYTg3MzM5ZDgyN2I0Y2E3ODcifQ=="/>
  </w:docVars>
  <w:rsids>
    <w:rsidRoot w:val="00000000"/>
    <w:rsid w:val="05EB4374"/>
    <w:rsid w:val="14E67156"/>
    <w:rsid w:val="2527505B"/>
    <w:rsid w:val="335203C7"/>
    <w:rsid w:val="49811185"/>
    <w:rsid w:val="4DE349C7"/>
    <w:rsid w:val="5B4F6808"/>
    <w:rsid w:val="7ACB0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4"/>
    <w:basedOn w:val="1"/>
    <w:next w:val="1"/>
    <w:unhideWhenUsed/>
    <w:qFormat/>
    <w:uiPriority w:val="0"/>
    <w:pPr>
      <w:keepNext/>
      <w:keepLines/>
      <w:spacing w:line="372"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320</Words>
  <Characters>400</Characters>
  <Lines>0</Lines>
  <Paragraphs>0</Paragraphs>
  <TotalTime>274</TotalTime>
  <ScaleCrop>false</ScaleCrop>
  <LinksUpToDate>false</LinksUpToDate>
  <CharactersWithSpaces>404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2022-10-14T06:58:00Z</dcterms:created>
  <dc:creator>Administrator</dc:creator>
  <cp:lastModifiedBy>企业用户_1388253657</cp:lastModifiedBy>
  <dcterms:modified xsi:type="dcterms:W3CDTF">2024-09-12T06:48:52Z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3640B047A5D64768A82FF0F78EF541FF_12</vt:lpwstr>
  </property>
</Properties>
</file>