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="Times New Roman" w:hAnsi="Times New Roman" w:eastAsia="仿宋_GB2312" w:cs="Times New Roman"/>
          <w:b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年度麦积区社保基金收支决算的说明</w:t>
      </w:r>
      <w:r>
        <w:rPr>
          <w:rFonts w:hint="eastAsia" w:eastAsia="仿宋_GB231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 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color w:val="000000"/>
          <w:kern w:val="0"/>
          <w:sz w:val="32"/>
          <w:szCs w:val="24"/>
          <w:highlight w:val="none"/>
          <w:lang w:val="en-US" w:eastAsia="zh-CN" w:bidi="ar-SA"/>
        </w:rPr>
        <w:t>社会保险基金预算收入完成69293万元，为预算73271万元的94.57%。其中：城乡居民基本养老保险基金收入35207万元，机关事业单位基本养老保险基金收入34086万元；社会保险基金预算支出75830万元，为预算71661万元的105.82%，同比增长25.32%。其中：城乡居民基本养老保险基金支出38452万元，机关事业单位基本养老保险基金支出37378万元。当年收支结余-6537万元，年终滚存结余26225万元。批准预算后，受城乡居民养老保险上级财政补助资金、机关事业单位养老保险财政补助减少等因素的影响，全年社会保险基金预算收入在批准预算73271万元的基础上减少3978万元，达到69293万元。另外，受全区重大项目实施形成的失地农民养老保险增加等因素的影响，社会保险基金预算支出在批准预算71661万元的基础上增加4169万元，达到75830万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203C7"/>
    <w:rsid w:val="4DE3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2022-10-14T06:58:00Z</dcterms:created>
  <dc:creator>Administrator</dc:creator>
  <cp:lastModifiedBy>Administrator</cp:lastModifiedBy>
  <dcterms:modified xsi:type="dcterms:W3CDTF">2023-08-21T02:52:58Z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