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1800F">
      <w:pPr>
        <w:pStyle w:val="3"/>
        <w:bidi w:val="0"/>
        <w:jc w:val="center"/>
        <w:rPr>
          <w:rFonts w:hint="eastAsia"/>
        </w:rPr>
      </w:pPr>
      <w:r>
        <w:rPr>
          <w:rFonts w:hint="eastAsia"/>
        </w:rPr>
        <w:t>关于202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年度麦积区国有资本经营预算收支决算及平衡情况的说明</w:t>
      </w:r>
    </w:p>
    <w:p w14:paraId="228A4E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  <w:lang w:val="en-US" w:eastAsia="zh-CN"/>
        </w:rPr>
      </w:pPr>
    </w:p>
    <w:p w14:paraId="598E5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  <w:lang w:val="en-US" w:eastAsia="zh-CN"/>
        </w:rPr>
        <w:t>国有资本经营预算收入总量完成1017万元，其中：国有资本经营预算收入27万元，为预算25万元的108%，同比减少59.09%，减收39万元；上级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  <w:lang w:val="en-US" w:eastAsia="zh-CN"/>
        </w:rPr>
        <w:t>补助收入298万元；上年结余692万元。国有资本经营预算支出总量1017万元，其中：国有资本经营预算支出82万元，为预算82万元的100%；调出资金405万元；年终结转530万元。年终收支平衡。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mMjQ1Y2FhYWYyYzhjMDNiNzRhZDU2OGY3Mjk3MjEifQ=="/>
  </w:docVars>
  <w:rsids>
    <w:rsidRoot w:val="00000000"/>
    <w:rsid w:val="0A3111E3"/>
    <w:rsid w:val="39424890"/>
    <w:rsid w:val="58B5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193</Characters>
  <Lines>0</Lines>
  <Paragraphs>0</Paragraphs>
  <TotalTime>2</TotalTime>
  <ScaleCrop>false</ScaleCrop>
  <LinksUpToDate>false</LinksUpToDate>
  <CharactersWithSpaces>193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2022-10-14T07:04:00Z</dcterms:created>
  <dc:creator>Administrator</dc:creator>
  <cp:lastModifiedBy>大米</cp:lastModifiedBy>
  <dcterms:modified xsi:type="dcterms:W3CDTF">2024-09-12T03:32:13Z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7F82DAB78EE14C879E28A7508B2ED495_12</vt:lpwstr>
  </property>
</Properties>
</file>