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01080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关于202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年麦积区政府性基金收支决算及平衡情况的说明</w:t>
      </w:r>
    </w:p>
    <w:p w14:paraId="5B56A4EF">
      <w:pPr>
        <w:rPr>
          <w:rFonts w:hint="eastAsia"/>
        </w:rPr>
      </w:pPr>
    </w:p>
    <w:p w14:paraId="46ADF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</w:p>
    <w:p w14:paraId="5644E70C">
      <w:pPr>
        <w:numPr>
          <w:ilvl w:val="0"/>
          <w:numId w:val="0"/>
        </w:numPr>
        <w:spacing w:beforeLines="0" w:afterLines="0" w:line="576" w:lineRule="exact"/>
        <w:ind w:firstLine="640" w:firstLineChars="200"/>
        <w:rPr>
          <w:rFonts w:hint="default" w:ascii="Times New Roman" w:hAnsi="Times New Roman" w:eastAsia="仿宋_GB2312"/>
          <w:color w:val="auto"/>
          <w:kern w:val="0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政</w:t>
      </w:r>
      <w:r>
        <w:rPr>
          <w:rFonts w:hint="eastAsia" w:ascii="Times New Roman" w:hAnsi="Times New Roman" w:eastAsia="仿宋"/>
          <w:color w:val="auto"/>
          <w:kern w:val="0"/>
          <w:sz w:val="32"/>
        </w:rPr>
        <w:t>府性</w:t>
      </w:r>
      <w:r>
        <w:rPr>
          <w:rFonts w:hint="eastAsia" w:ascii="Times New Roman" w:hAnsi="Times New Roman" w:eastAsia="仿宋"/>
          <w:color w:val="auto"/>
          <w:sz w:val="32"/>
        </w:rPr>
        <w:t>基</w:t>
      </w:r>
      <w:r>
        <w:rPr>
          <w:rFonts w:hint="eastAsia" w:ascii="Times New Roman" w:hAnsi="Times New Roman" w:eastAsia="仿宋_GB2312"/>
          <w:color w:val="auto"/>
          <w:sz w:val="32"/>
        </w:rPr>
        <w:t>金预算收入总量完成</w:t>
      </w:r>
      <w:r>
        <w:rPr>
          <w:rFonts w:hint="default" w:ascii="Times New Roman" w:hAnsi="Times New Roman" w:eastAsia="仿宋_GB2312"/>
          <w:color w:val="auto"/>
          <w:sz w:val="32"/>
        </w:rPr>
        <w:t>113788</w:t>
      </w:r>
      <w:r>
        <w:rPr>
          <w:rFonts w:hint="eastAsia" w:ascii="Times New Roman" w:hAnsi="Times New Roman" w:eastAsia="仿宋_GB2312"/>
          <w:color w:val="auto"/>
          <w:sz w:val="32"/>
        </w:rPr>
        <w:t>万元，</w:t>
      </w:r>
      <w:r>
        <w:rPr>
          <w:rFonts w:hint="eastAsia" w:ascii="Times New Roman" w:hAnsi="Times New Roman" w:eastAsia="仿宋_GB2312"/>
          <w:color w:val="auto"/>
          <w:kern w:val="0"/>
          <w:sz w:val="32"/>
        </w:rPr>
        <w:t>其中：政府性基金预算收入18959万元，</w:t>
      </w:r>
      <w:r>
        <w:rPr>
          <w:rFonts w:hint="eastAsia" w:ascii="Times New Roman" w:hAnsi="Times New Roman" w:eastAsia="仿宋_GB2312"/>
          <w:color w:val="auto"/>
          <w:sz w:val="32"/>
        </w:rPr>
        <w:t>为预算</w:t>
      </w:r>
      <w:r>
        <w:rPr>
          <w:rFonts w:hint="default" w:ascii="Times New Roman" w:hAnsi="Times New Roman" w:eastAsia="仿宋_GB2312"/>
          <w:color w:val="auto"/>
          <w:sz w:val="32"/>
        </w:rPr>
        <w:t>44000</w:t>
      </w:r>
      <w:r>
        <w:rPr>
          <w:rFonts w:hint="eastAsia" w:ascii="Times New Roman" w:hAnsi="Times New Roman" w:eastAsia="仿宋_GB2312"/>
          <w:color w:val="auto"/>
          <w:sz w:val="32"/>
        </w:rPr>
        <w:t>万元的</w:t>
      </w:r>
      <w:r>
        <w:rPr>
          <w:rFonts w:hint="default" w:ascii="Times New Roman" w:hAnsi="Times New Roman" w:eastAsia="仿宋_GB2312"/>
          <w:color w:val="auto"/>
          <w:sz w:val="32"/>
        </w:rPr>
        <w:t>43.09%</w:t>
      </w:r>
      <w:r>
        <w:rPr>
          <w:rFonts w:hint="eastAsia" w:ascii="Times New Roman" w:hAnsi="Times New Roman" w:eastAsia="仿宋_GB2312"/>
          <w:color w:val="auto"/>
          <w:sz w:val="32"/>
        </w:rPr>
        <w:t>，同比下降40.72</w:t>
      </w:r>
      <w:r>
        <w:rPr>
          <w:rFonts w:hint="default" w:ascii="Times New Roman" w:hAnsi="Times New Roman" w:eastAsia="仿宋_GB2312"/>
          <w:color w:val="auto"/>
          <w:sz w:val="32"/>
        </w:rPr>
        <w:t>%</w:t>
      </w:r>
      <w:r>
        <w:rPr>
          <w:rFonts w:hint="eastAsia" w:ascii="Times New Roman" w:hAnsi="Times New Roman" w:eastAsia="仿宋_GB2312"/>
          <w:color w:val="auto"/>
          <w:sz w:val="32"/>
        </w:rPr>
        <w:t>，减收13022万元</w:t>
      </w:r>
      <w:r>
        <w:rPr>
          <w:rFonts w:hint="eastAsia" w:ascii="Times New Roman" w:hAnsi="Times New Roman" w:eastAsia="仿宋_GB2312"/>
          <w:color w:val="auto"/>
          <w:kern w:val="0"/>
          <w:sz w:val="32"/>
        </w:rPr>
        <w:t>；上级补助收入2310万元；地方政府专项债务转贷收入76000万元；上年结转收入16519万元。</w:t>
      </w:r>
      <w:r>
        <w:rPr>
          <w:rFonts w:hint="eastAsia" w:ascii="Times New Roman" w:hAnsi="Times New Roman" w:eastAsia="仿宋_GB2312"/>
          <w:color w:val="auto"/>
          <w:sz w:val="32"/>
        </w:rPr>
        <w:t>政府性基金预算支出总量完成</w:t>
      </w:r>
      <w:r>
        <w:rPr>
          <w:rFonts w:hint="default" w:ascii="Times New Roman" w:hAnsi="Times New Roman" w:eastAsia="仿宋_GB2312"/>
          <w:color w:val="auto"/>
          <w:sz w:val="32"/>
        </w:rPr>
        <w:t>113788</w:t>
      </w:r>
      <w:r>
        <w:rPr>
          <w:rFonts w:hint="eastAsia" w:ascii="Times New Roman" w:hAnsi="Times New Roman" w:eastAsia="仿宋_GB2312"/>
          <w:color w:val="auto"/>
          <w:sz w:val="32"/>
        </w:rPr>
        <w:t>万元，</w:t>
      </w:r>
      <w:r>
        <w:rPr>
          <w:rFonts w:hint="eastAsia" w:ascii="Times New Roman" w:hAnsi="Times New Roman" w:eastAsia="仿宋_GB2312"/>
          <w:color w:val="auto"/>
          <w:kern w:val="0"/>
          <w:sz w:val="32"/>
        </w:rPr>
        <w:t>为预算</w:t>
      </w:r>
      <w:r>
        <w:rPr>
          <w:rFonts w:hint="default" w:ascii="Times New Roman" w:hAnsi="Times New Roman" w:eastAsia="仿宋_GB2312"/>
          <w:color w:val="auto"/>
          <w:sz w:val="32"/>
        </w:rPr>
        <w:t>113731</w:t>
      </w:r>
      <w:r>
        <w:rPr>
          <w:rFonts w:hint="eastAsia" w:ascii="Times New Roman" w:hAnsi="Times New Roman" w:eastAsia="仿宋_GB2312"/>
          <w:color w:val="auto"/>
          <w:kern w:val="0"/>
          <w:sz w:val="32"/>
        </w:rPr>
        <w:t>万元的</w:t>
      </w:r>
      <w:r>
        <w:rPr>
          <w:rFonts w:hint="default" w:ascii="Times New Roman" w:hAnsi="Times New Roman" w:eastAsia="仿宋_GB2312"/>
          <w:color w:val="auto"/>
          <w:kern w:val="0"/>
          <w:sz w:val="32"/>
        </w:rPr>
        <w:t>100.05%</w:t>
      </w:r>
      <w:r>
        <w:rPr>
          <w:rFonts w:hint="eastAsia" w:ascii="Times New Roman" w:hAnsi="Times New Roman" w:eastAsia="仿宋_GB2312"/>
          <w:color w:val="auto"/>
          <w:kern w:val="0"/>
          <w:sz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</w:rPr>
        <w:t>其中：</w:t>
      </w:r>
      <w:r>
        <w:rPr>
          <w:rFonts w:hint="eastAsia" w:ascii="Times New Roman" w:hAnsi="Times New Roman" w:eastAsia="仿宋_GB2312"/>
          <w:color w:val="auto"/>
          <w:kern w:val="0"/>
          <w:sz w:val="32"/>
        </w:rPr>
        <w:t>政府性基金预算支出52169万元，</w:t>
      </w:r>
      <w:r>
        <w:rPr>
          <w:rFonts w:hint="eastAsia" w:ascii="Times New Roman" w:hAnsi="Times New Roman" w:eastAsia="仿宋_GB2312"/>
          <w:color w:val="auto"/>
          <w:sz w:val="32"/>
        </w:rPr>
        <w:t>为预算44488万元的</w:t>
      </w:r>
      <w:r>
        <w:rPr>
          <w:rFonts w:hint="default" w:ascii="Times New Roman" w:hAnsi="Times New Roman" w:eastAsia="仿宋_GB2312"/>
          <w:color w:val="auto"/>
          <w:sz w:val="32"/>
        </w:rPr>
        <w:t>117.27%</w:t>
      </w:r>
      <w:r>
        <w:rPr>
          <w:rFonts w:hint="eastAsia" w:ascii="Times New Roman" w:hAnsi="Times New Roman" w:eastAsia="仿宋_GB2312"/>
          <w:color w:val="auto"/>
          <w:sz w:val="32"/>
        </w:rPr>
        <w:t>；</w:t>
      </w:r>
      <w:r>
        <w:rPr>
          <w:rFonts w:hint="eastAsia" w:ascii="Times New Roman" w:hAnsi="Times New Roman" w:eastAsia="仿宋_GB2312"/>
          <w:color w:val="auto"/>
          <w:kern w:val="0"/>
          <w:sz w:val="32"/>
        </w:rPr>
        <w:t>调出资金2264万元；</w:t>
      </w:r>
      <w:r>
        <w:rPr>
          <w:rFonts w:hint="eastAsia" w:ascii="Times New Roman" w:hAnsi="Times New Roman" w:eastAsia="仿宋_GB2312"/>
          <w:color w:val="auto"/>
          <w:sz w:val="32"/>
        </w:rPr>
        <w:t>债务还本支出</w:t>
      </w:r>
      <w:r>
        <w:rPr>
          <w:rFonts w:hint="default" w:ascii="Times New Roman" w:hAnsi="Times New Roman" w:eastAsia="仿宋_GB2312"/>
          <w:color w:val="auto"/>
          <w:sz w:val="32"/>
        </w:rPr>
        <w:t>30000</w:t>
      </w:r>
      <w:r>
        <w:rPr>
          <w:rFonts w:hint="eastAsia" w:ascii="Times New Roman" w:hAnsi="Times New Roman" w:eastAsia="仿宋_GB2312"/>
          <w:color w:val="auto"/>
          <w:sz w:val="32"/>
        </w:rPr>
        <w:t>万元；</w:t>
      </w:r>
      <w:r>
        <w:rPr>
          <w:rFonts w:hint="eastAsia" w:ascii="Times New Roman" w:hAnsi="Times New Roman" w:eastAsia="仿宋_GB2312"/>
          <w:color w:val="auto"/>
          <w:kern w:val="0"/>
          <w:sz w:val="32"/>
        </w:rPr>
        <w:t>年终结转资金29355万元。年终收支平衡。</w:t>
      </w:r>
    </w:p>
    <w:p w14:paraId="0F25373C">
      <w:pPr>
        <w:pStyle w:val="2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 xml:space="preserve">    政府性基金预算收入18959万元，为预算44000万元的43.09%，同比下降40.72%，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其中国有土地使用权出让收入占比较多，受房地产政策调控，土地交易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市场低迷影响，政府性基金收入呈下降态势。</w:t>
      </w:r>
    </w:p>
    <w:p w14:paraId="7EFA664D">
      <w:pPr>
        <w:spacing w:beforeLines="0" w:afterLines="0" w:line="576" w:lineRule="exact"/>
        <w:ind w:firstLine="643" w:firstLineChars="200"/>
        <w:rPr>
          <w:rFonts w:hint="default" w:ascii="Times New Roman" w:hAnsi="Times New Roman" w:eastAsia="仿宋_GB2312"/>
          <w:color w:val="auto"/>
          <w:kern w:val="0"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</w:rPr>
        <w:t>支出分科目完成情况是：</w:t>
      </w:r>
      <w:r>
        <w:rPr>
          <w:rFonts w:hint="eastAsia" w:ascii="Times New Roman" w:hAnsi="Times New Roman" w:eastAsia="仿宋_GB2312"/>
          <w:color w:val="auto"/>
          <w:sz w:val="32"/>
        </w:rPr>
        <w:t>城乡社区支出</w:t>
      </w:r>
      <w:r>
        <w:rPr>
          <w:rFonts w:hint="default" w:ascii="Times New Roman" w:hAnsi="Times New Roman" w:eastAsia="仿宋_GB2312"/>
          <w:color w:val="auto"/>
          <w:sz w:val="32"/>
        </w:rPr>
        <w:t>31608</w:t>
      </w:r>
      <w:r>
        <w:rPr>
          <w:rFonts w:hint="eastAsia" w:ascii="Times New Roman" w:hAnsi="Times New Roman" w:eastAsia="仿宋_GB2312"/>
          <w:color w:val="auto"/>
          <w:sz w:val="32"/>
        </w:rPr>
        <w:t>万元</w:t>
      </w:r>
      <w:r>
        <w:rPr>
          <w:rFonts w:hint="eastAsia" w:ascii="Times New Roman" w:hAnsi="Times New Roman" w:eastAsia="仿宋_GB2312"/>
          <w:color w:val="auto"/>
          <w:kern w:val="0"/>
          <w:sz w:val="32"/>
        </w:rPr>
        <w:t>，为预算26650万元的118.6%；</w:t>
      </w:r>
    </w:p>
    <w:p w14:paraId="4E983386">
      <w:pPr>
        <w:spacing w:beforeLines="0" w:afterLines="0" w:line="576" w:lineRule="exact"/>
        <w:ind w:firstLine="640" w:firstLineChars="200"/>
        <w:rPr>
          <w:rFonts w:hint="default" w:ascii="Times New Roman" w:hAnsi="Times New Roman" w:eastAsia="仿宋_GB2312"/>
          <w:color w:val="auto"/>
          <w:kern w:val="0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其他支出</w:t>
      </w:r>
      <w:r>
        <w:rPr>
          <w:rFonts w:hint="default" w:ascii="Times New Roman" w:hAnsi="Times New Roman" w:eastAsia="仿宋_GB2312"/>
          <w:color w:val="auto"/>
          <w:sz w:val="32"/>
        </w:rPr>
        <w:t>12940</w:t>
      </w:r>
      <w:r>
        <w:rPr>
          <w:rFonts w:hint="eastAsia" w:ascii="Times New Roman" w:hAnsi="Times New Roman" w:eastAsia="仿宋_GB2312"/>
          <w:color w:val="auto"/>
          <w:sz w:val="32"/>
        </w:rPr>
        <w:t>万元</w:t>
      </w:r>
      <w:r>
        <w:rPr>
          <w:rFonts w:hint="eastAsia" w:ascii="Times New Roman" w:hAnsi="Times New Roman" w:eastAsia="仿宋_GB2312"/>
          <w:color w:val="auto"/>
          <w:kern w:val="0"/>
          <w:sz w:val="32"/>
        </w:rPr>
        <w:t>，为预算10217万元的126.65%；</w:t>
      </w:r>
    </w:p>
    <w:p w14:paraId="2F32F4FE">
      <w:pPr>
        <w:spacing w:beforeLines="0" w:afterLines="0" w:line="576" w:lineRule="exact"/>
        <w:ind w:firstLine="640" w:firstLineChars="200"/>
        <w:rPr>
          <w:rFonts w:hint="default" w:ascii="Times New Roman" w:hAnsi="Times New Roman" w:eastAsia="仿宋_GB2312"/>
          <w:color w:val="auto"/>
          <w:kern w:val="0"/>
          <w:sz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</w:rPr>
        <w:t>债务付息支出7545万元，为预算7545万元的100%；</w:t>
      </w:r>
    </w:p>
    <w:p w14:paraId="2A59C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</w:rPr>
        <w:t>债务发行费用支出76万元，为预算76万元的100%。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MjQ1Y2FhYWYyYzhjMDNiNzRhZDU2OGY3Mjk3MjEifQ=="/>
  </w:docVars>
  <w:rsids>
    <w:rsidRoot w:val="00172A27"/>
    <w:rsid w:val="059A5AC0"/>
    <w:rsid w:val="15174E59"/>
    <w:rsid w:val="23C9314F"/>
    <w:rsid w:val="35F5535B"/>
    <w:rsid w:val="44CC7AFA"/>
    <w:rsid w:val="62717EB5"/>
    <w:rsid w:val="7B5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504</Characters>
  <Lines>0</Lines>
  <Paragraphs>0</Paragraphs>
  <TotalTime>2</TotalTime>
  <ScaleCrop>false</ScaleCrop>
  <LinksUpToDate>false</LinksUpToDate>
  <CharactersWithSpaces>508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2022-10-14T06:57:00Z</dcterms:created>
  <dc:creator>Administrator</dc:creator>
  <cp:lastModifiedBy>大米</cp:lastModifiedBy>
  <dcterms:modified xsi:type="dcterms:W3CDTF">2024-09-12T03:37:55Z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419F41EB29784145988010B875B6611D_12</vt:lpwstr>
  </property>
</Properties>
</file>