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关于2021年麦积区“三公”经费支出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情况的说明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4"/>
          <w:sz w:val="32"/>
          <w:szCs w:val="32"/>
          <w:highlight w:val="none"/>
          <w:lang w:val="en-US" w:eastAsia="zh-CN"/>
        </w:rPr>
        <w:t>2021麦积区全年“三公”经费支出合计480万元，占预算的60.76%，较2020年全年501万同比下降4.19%。其中：公务接待费217万元，占预算的98.64%，较2020年231万元同比下降6.06%；</w:t>
      </w:r>
      <w:bookmarkStart w:id="0" w:name="_GoBack"/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4"/>
          <w:sz w:val="32"/>
          <w:szCs w:val="32"/>
          <w:highlight w:val="none"/>
          <w:lang w:val="en-US" w:eastAsia="zh-CN"/>
        </w:rPr>
        <w:t>公务</w:t>
      </w:r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-4"/>
          <w:sz w:val="32"/>
          <w:szCs w:val="32"/>
          <w:highlight w:val="none"/>
          <w:lang w:val="en-US" w:eastAsia="zh-CN"/>
        </w:rPr>
        <w:t>用车购置费0万元，与2020年持平；公务用车维护费263万元，占预算的97.41%，较2020年270万元同比下降2.59%。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Y2E0MDU4ZDNjMzViNGEyYmU0MTE4OTJhZjQ4ZjMifQ=="/>
  </w:docVars>
  <w:rsids>
    <w:rsidRoot w:val="00000000"/>
    <w:rsid w:val="02587F97"/>
    <w:rsid w:val="09692776"/>
    <w:rsid w:val="1528102A"/>
    <w:rsid w:val="2FC668A2"/>
    <w:rsid w:val="399F655C"/>
    <w:rsid w:val="5EFB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172</Characters>
  <Lines>0</Lines>
  <Paragraphs>0</Paragraphs>
  <TotalTime>10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2022-10-14T06:46:00Z</dcterms:created>
  <dc:creator>Administrator</dc:creator>
  <cp:lastModifiedBy>孟凡云</cp:lastModifiedBy>
  <dcterms:modified xsi:type="dcterms:W3CDTF">2023-06-12T07:25:12Z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149C09B6D32C4083BE65872C0AAE81B0_13</vt:lpwstr>
  </property>
</Properties>
</file>