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社棠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镇人民政府整体支出绩效</w:t>
      </w:r>
    </w:p>
    <w:p>
      <w:pPr>
        <w:spacing w:line="70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自评报告</w:t>
      </w:r>
    </w:p>
    <w:p>
      <w:pPr>
        <w:spacing w:line="348" w:lineRule="auto"/>
        <w:jc w:val="center"/>
        <w:rPr>
          <w:rFonts w:ascii="楷体_GB2312" w:hAnsi="宋体" w:eastAsia="楷体_GB2312"/>
          <w:bCs/>
          <w:szCs w:val="32"/>
        </w:rPr>
      </w:pPr>
    </w:p>
    <w:p>
      <w:pPr>
        <w:rPr>
          <w:rFonts w:eastAsia="仿宋_GB2312"/>
          <w:b/>
          <w:sz w:val="28"/>
          <w:szCs w:val="32"/>
        </w:rPr>
      </w:pPr>
    </w:p>
    <w:p>
      <w:pPr>
        <w:ind w:firstLine="413" w:firstLineChars="147"/>
        <w:rPr>
          <w:rFonts w:ascii="仿宋_GB2312" w:eastAsia="仿宋_GB2312"/>
          <w:sz w:val="28"/>
          <w:szCs w:val="44"/>
        </w:rPr>
      </w:pPr>
      <w:r>
        <w:rPr>
          <w:rFonts w:hint="eastAsia" w:ascii="仿宋_GB2312" w:eastAsia="仿宋_GB2312"/>
          <w:b/>
          <w:sz w:val="28"/>
          <w:szCs w:val="44"/>
        </w:rPr>
        <w:t>评价类型</w:t>
      </w:r>
      <w:r>
        <w:rPr>
          <w:rFonts w:hint="eastAsia" w:ascii="仿宋_GB2312" w:eastAsia="仿宋_GB2312"/>
          <w:sz w:val="28"/>
          <w:szCs w:val="44"/>
        </w:rPr>
        <w:t>：部门（单位）整体评价/自评</w:t>
      </w:r>
    </w:p>
    <w:p>
      <w:pPr>
        <w:spacing w:beforeLines="50" w:line="348" w:lineRule="auto"/>
        <w:ind w:firstLine="420" w:firstLineChars="150"/>
        <w:rPr>
          <w:rFonts w:ascii="仿宋_GB2312" w:eastAsia="仿宋_GB2312"/>
          <w:sz w:val="28"/>
          <w:szCs w:val="44"/>
          <w:u w:val="single"/>
        </w:rPr>
      </w:pPr>
      <w:r>
        <w:rPr>
          <w:rFonts w:hint="eastAsia" w:ascii="仿宋_GB2312" w:eastAsia="仿宋_GB2312"/>
          <w:sz w:val="28"/>
          <w:szCs w:val="44"/>
        </w:rPr>
        <w:t>主管部门：</w:t>
      </w:r>
      <w:r>
        <w:rPr>
          <w:rFonts w:hint="eastAsia" w:ascii="仿宋_GB2312" w:eastAsia="仿宋_GB2312"/>
          <w:sz w:val="28"/>
          <w:szCs w:val="44"/>
          <w:u w:val="single"/>
        </w:rPr>
        <w:t xml:space="preserve">                                   </w:t>
      </w:r>
    </w:p>
    <w:p>
      <w:pPr>
        <w:spacing w:beforeLines="50" w:line="348" w:lineRule="auto"/>
        <w:ind w:firstLine="420" w:firstLineChars="150"/>
        <w:rPr>
          <w:rFonts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>单位名称：</w:t>
      </w:r>
      <w:r>
        <w:rPr>
          <w:rFonts w:hint="eastAsia" w:ascii="仿宋_GB2312" w:eastAsia="仿宋_GB2312"/>
          <w:sz w:val="28"/>
          <w:szCs w:val="44"/>
          <w:u w:val="single"/>
        </w:rPr>
        <w:t>天水市麦积区</w:t>
      </w:r>
      <w:r>
        <w:rPr>
          <w:rFonts w:hint="eastAsia" w:ascii="仿宋_GB2312" w:eastAsia="仿宋_GB2312"/>
          <w:sz w:val="28"/>
          <w:szCs w:val="44"/>
          <w:u w:val="single"/>
          <w:lang w:val="en-US" w:eastAsia="zh-CN"/>
        </w:rPr>
        <w:t>社棠</w:t>
      </w:r>
      <w:r>
        <w:rPr>
          <w:rFonts w:hint="eastAsia" w:ascii="仿宋_GB2312" w:eastAsia="仿宋_GB2312"/>
          <w:sz w:val="28"/>
          <w:szCs w:val="44"/>
          <w:u w:val="single"/>
        </w:rPr>
        <w:t xml:space="preserve">镇人民政府         </w:t>
      </w:r>
    </w:p>
    <w:p>
      <w:pPr>
        <w:spacing w:beforeLines="50" w:line="348" w:lineRule="auto"/>
        <w:ind w:firstLine="420" w:firstLineChars="150"/>
        <w:rPr>
          <w:rFonts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>评价方式：自评☑/评价□/再评价□</w:t>
      </w:r>
    </w:p>
    <w:p>
      <w:pPr>
        <w:spacing w:beforeLines="50" w:line="348" w:lineRule="auto"/>
        <w:ind w:firstLine="420" w:firstLineChars="150"/>
        <w:rPr>
          <w:rFonts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>评价机构：部门（单位）评价组☑/第三方机构□</w:t>
      </w:r>
    </w:p>
    <w:p>
      <w:pPr>
        <w:spacing w:beforeLines="50" w:line="348" w:lineRule="auto"/>
        <w:ind w:firstLine="420" w:firstLineChars="150"/>
        <w:rPr>
          <w:rFonts w:ascii="仿宋_GB2312" w:eastAsia="仿宋_GB2312"/>
          <w:sz w:val="28"/>
          <w:szCs w:val="44"/>
        </w:rPr>
      </w:pPr>
    </w:p>
    <w:p>
      <w:pPr>
        <w:spacing w:beforeLines="50" w:line="348" w:lineRule="auto"/>
        <w:ind w:firstLine="420" w:firstLineChars="150"/>
        <w:rPr>
          <w:rFonts w:ascii="仿宋_GB2312" w:eastAsia="仿宋_GB2312"/>
          <w:sz w:val="28"/>
          <w:szCs w:val="44"/>
        </w:rPr>
      </w:pPr>
    </w:p>
    <w:p>
      <w:pPr>
        <w:spacing w:beforeLines="50" w:line="348" w:lineRule="auto"/>
        <w:ind w:firstLine="420" w:firstLineChars="150"/>
        <w:rPr>
          <w:rFonts w:ascii="仿宋_GB2312" w:eastAsia="仿宋_GB2312"/>
          <w:sz w:val="28"/>
          <w:szCs w:val="44"/>
        </w:rPr>
      </w:pPr>
    </w:p>
    <w:p>
      <w:pPr>
        <w:spacing w:beforeLines="50" w:line="348" w:lineRule="auto"/>
        <w:jc w:val="center"/>
        <w:rPr>
          <w:rFonts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>报告日期：</w:t>
      </w:r>
      <w:r>
        <w:rPr>
          <w:rFonts w:hint="eastAsia" w:ascii="仿宋_GB2312" w:eastAsia="仿宋_GB2312"/>
          <w:sz w:val="28"/>
          <w:szCs w:val="44"/>
          <w:lang w:val="en-US" w:eastAsia="zh-CN"/>
        </w:rPr>
        <w:t>2021</w:t>
      </w:r>
      <w:r>
        <w:rPr>
          <w:rFonts w:hint="eastAsia" w:ascii="仿宋_GB2312" w:eastAsia="仿宋_GB2312"/>
          <w:sz w:val="28"/>
          <w:szCs w:val="44"/>
        </w:rPr>
        <w:t xml:space="preserve"> 年 </w:t>
      </w:r>
      <w:r>
        <w:rPr>
          <w:rFonts w:hint="eastAsia" w:ascii="仿宋_GB2312" w:eastAsia="仿宋_GB2312"/>
          <w:sz w:val="28"/>
          <w:szCs w:val="44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44"/>
        </w:rPr>
        <w:t xml:space="preserve"> 月 </w:t>
      </w:r>
      <w:r>
        <w:rPr>
          <w:rFonts w:hint="eastAsia" w:ascii="仿宋_GB2312" w:eastAsia="仿宋_GB2312"/>
          <w:sz w:val="28"/>
          <w:szCs w:val="44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44"/>
        </w:rPr>
        <w:t xml:space="preserve">  日</w:t>
      </w:r>
    </w:p>
    <w:p>
      <w:pPr>
        <w:spacing w:beforeLines="50" w:line="348" w:lineRule="auto"/>
        <w:jc w:val="center"/>
        <w:rPr>
          <w:rFonts w:ascii="仿宋_GB2312" w:eastAsia="仿宋_GB2312"/>
          <w:szCs w:val="32"/>
        </w:rPr>
      </w:pPr>
    </w:p>
    <w:p>
      <w:pPr>
        <w:snapToGrid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napToGrid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napToGrid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napToGrid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napToGrid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napToGrid w:val="0"/>
        <w:spacing w:line="500" w:lineRule="exact"/>
        <w:rPr>
          <w:rFonts w:ascii="方正小标宋简体" w:eastAsia="方正小标宋简体"/>
          <w:sz w:val="44"/>
          <w:szCs w:val="44"/>
        </w:rPr>
      </w:pPr>
    </w:p>
    <w:p>
      <w:pPr>
        <w:snapToGrid w:val="0"/>
        <w:spacing w:line="500" w:lineRule="exact"/>
        <w:rPr>
          <w:rFonts w:ascii="方正小标宋简体" w:eastAsia="方正小标宋简体"/>
          <w:sz w:val="44"/>
          <w:szCs w:val="44"/>
        </w:rPr>
      </w:pPr>
    </w:p>
    <w:p>
      <w:pPr>
        <w:snapToGrid w:val="0"/>
        <w:spacing w:line="500" w:lineRule="exact"/>
        <w:rPr>
          <w:rFonts w:ascii="方正小标宋简体" w:eastAsia="方正小标宋简体"/>
          <w:sz w:val="44"/>
          <w:szCs w:val="44"/>
        </w:rPr>
      </w:pPr>
    </w:p>
    <w:p>
      <w:pPr>
        <w:snapToGrid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天水市麦积区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社棠</w:t>
      </w:r>
      <w:r>
        <w:rPr>
          <w:rFonts w:hint="eastAsia" w:ascii="方正小标宋简体" w:eastAsia="方正小标宋简体"/>
          <w:sz w:val="44"/>
          <w:szCs w:val="44"/>
        </w:rPr>
        <w:t>镇人民政府整体支出绩效自评报告</w:t>
      </w:r>
    </w:p>
    <w:p>
      <w:pPr>
        <w:snapToGrid w:val="0"/>
        <w:spacing w:line="500" w:lineRule="exact"/>
        <w:jc w:val="center"/>
        <w:rPr>
          <w:rFonts w:ascii="楷体_GB2312" w:eastAsia="楷体_GB2312"/>
          <w:szCs w:val="32"/>
        </w:rPr>
      </w:pPr>
    </w:p>
    <w:p>
      <w:pPr>
        <w:snapToGrid w:val="0"/>
        <w:spacing w:line="500" w:lineRule="exact"/>
        <w:jc w:val="center"/>
        <w:rPr>
          <w:rFonts w:ascii="楷体_GB2312" w:eastAsia="楷体_GB2312"/>
          <w:sz w:val="28"/>
          <w:szCs w:val="28"/>
        </w:rPr>
      </w:pPr>
    </w:p>
    <w:p>
      <w:pPr>
        <w:snapToGrid w:val="0"/>
        <w:spacing w:line="576" w:lineRule="exact"/>
        <w:ind w:firstLine="616" w:firstLineChars="200"/>
        <w:rPr>
          <w:rFonts w:ascii="黑体" w:hAnsi="黑体" w:eastAsia="黑体"/>
          <w:spacing w:val="-6"/>
          <w:sz w:val="32"/>
          <w:szCs w:val="32"/>
          <w:lang w:val="zh-CN"/>
        </w:rPr>
      </w:pPr>
      <w:r>
        <w:rPr>
          <w:rFonts w:ascii="黑体" w:hAnsi="黑体" w:eastAsia="黑体"/>
          <w:spacing w:val="-6"/>
          <w:sz w:val="32"/>
          <w:szCs w:val="32"/>
          <w:lang w:val="zh-CN"/>
        </w:rPr>
        <w:t>一、部门概况</w:t>
      </w:r>
    </w:p>
    <w:p>
      <w:pPr>
        <w:topLinePunct/>
        <w:spacing w:line="360" w:lineRule="auto"/>
        <w:ind w:firstLine="600" w:firstLineChars="200"/>
        <w:rPr>
          <w:rFonts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社棠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镇党委、镇政府宣传贯彻落实党和国家各项方针政策和法律法规，执行党中央、上级党组织的决议、决定，接受相关部门的业务指导，在履行职责过程中坚持和加强党对乡镇各项工作的集中统一领导。主要职责是：</w:t>
      </w:r>
    </w:p>
    <w:p>
      <w:pPr>
        <w:numPr>
          <w:ilvl w:val="0"/>
          <w:numId w:val="1"/>
        </w:numPr>
        <w:topLinePunct/>
        <w:spacing w:line="360" w:lineRule="auto"/>
        <w:ind w:firstLine="600" w:firstLineChars="200"/>
        <w:rPr>
          <w:rFonts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坚持加强党的领导。全面贯彻落实党中央和各级党委决策部署，推进全面从严治党，落实基层党建工作责任制，严格抓好基层党组织建设各项制度，加强纪检监察工作，深化各项体制改革，做好国防教育和兵役等工作，全面加强基层宣传思想文化工作，进一步增强党在农村基层的政治领导力、思想引领力群众组织力、社会号召力。</w:t>
      </w:r>
    </w:p>
    <w:p>
      <w:pPr>
        <w:topLinePunct/>
        <w:spacing w:line="360" w:lineRule="auto"/>
        <w:ind w:firstLine="600" w:firstLineChars="200"/>
        <w:rPr>
          <w:rFonts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ascii="仿宋" w:hAnsi="仿宋" w:eastAsia="仿宋" w:cs="仿宋"/>
          <w:color w:val="333333"/>
          <w:sz w:val="30"/>
          <w:szCs w:val="30"/>
          <w:shd w:val="clear" w:color="auto" w:fill="FFFFFF"/>
        </w:rPr>
        <w:t>(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二</w:t>
      </w:r>
      <w:r>
        <w:rPr>
          <w:rFonts w:ascii="仿宋" w:hAnsi="仿宋" w:eastAsia="仿宋" w:cs="仿宋"/>
          <w:color w:val="333333"/>
          <w:sz w:val="30"/>
          <w:szCs w:val="30"/>
          <w:shd w:val="clear" w:color="auto" w:fill="FFFFFF"/>
        </w:rPr>
        <w:t>)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实施乡村振兴战略。贯彻落实党中央、国务院和各级党委政府关于实施乡村振兴战略的决策部署，提升农业发展质量，加快现代农业强镇步伐。推进乡村绿色发展，打造生态宜居美丽乡村。深化农村精神文明建设，树立健康文明新风尚。构建乡村治理体系，提升农村社会治理水平。坚决打赢脱贫攻坚战，增强人民群众获得感和幸福感。深入推进农业农村改革，增强乡村振兴内生动力。</w:t>
      </w:r>
    </w:p>
    <w:p>
      <w:pPr>
        <w:topLinePunct/>
        <w:spacing w:line="360" w:lineRule="auto"/>
        <w:ind w:firstLine="600" w:firstLineChars="200"/>
        <w:rPr>
          <w:rFonts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ascii="仿宋" w:hAnsi="仿宋" w:eastAsia="仿宋" w:cs="仿宋"/>
          <w:color w:val="333333"/>
          <w:sz w:val="30"/>
          <w:szCs w:val="30"/>
          <w:shd w:val="clear" w:color="auto" w:fill="FFFFFF"/>
        </w:rPr>
        <w:t>(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三</w:t>
      </w:r>
      <w:r>
        <w:rPr>
          <w:rFonts w:ascii="仿宋" w:hAnsi="仿宋" w:eastAsia="仿宋" w:cs="仿宋"/>
          <w:color w:val="333333"/>
          <w:sz w:val="30"/>
          <w:szCs w:val="30"/>
          <w:shd w:val="clear" w:color="auto" w:fill="FFFFFF"/>
        </w:rPr>
        <w:t>)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推进经济社会发展。组织制定和落实区域经济社会发展和村镇建设等规划，提升工业化和城镇化发展水平，加强基础设施和各项公益事业建设，改善群众生活环境。推进“三农”服务和精准扶贫工作，指导农村经济发展，深化农业公共服务体系建设，加强农业产前、产中、产后服务。完善生产、供销、信用三位一体”农民合作经济组织体系，推进农村经济结构调整，促进经济増长方式转变，促进农民增收。</w:t>
      </w:r>
    </w:p>
    <w:p>
      <w:pPr>
        <w:topLinePunct/>
        <w:spacing w:line="360" w:lineRule="auto"/>
        <w:ind w:firstLine="600" w:firstLineChars="200"/>
        <w:rPr>
          <w:rFonts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ascii="仿宋" w:hAnsi="仿宋" w:eastAsia="仿宋" w:cs="仿宋"/>
          <w:color w:val="333333"/>
          <w:sz w:val="30"/>
          <w:szCs w:val="30"/>
          <w:shd w:val="clear" w:color="auto" w:fill="FFFFFF"/>
        </w:rPr>
        <w:t>(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四</w:t>
      </w:r>
      <w:r>
        <w:rPr>
          <w:rFonts w:ascii="仿宋" w:hAnsi="仿宋" w:eastAsia="仿宋" w:cs="仿宋"/>
          <w:color w:val="333333"/>
          <w:sz w:val="30"/>
          <w:szCs w:val="30"/>
          <w:shd w:val="clear" w:color="auto" w:fill="FFFFFF"/>
        </w:rPr>
        <w:t>)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完善基层审批服务。推进基层行政审批和公共服务发展，加强综合便民服务机构和服务平台建设。推进集中审批服务，落实“放管服”改革，建立健全“一站式服务”和“一门式办理”，提升群众获得感和幸福感。落实社会保障、社会救助、卫生健康、医疗保障、住房保障、劳动就业等各项公共服务工作，统筹基本公共服务设施的空间布局，实现基本公共服务全覆盖。</w:t>
      </w:r>
    </w:p>
    <w:p>
      <w:pPr>
        <w:topLinePunct/>
        <w:spacing w:line="360" w:lineRule="auto"/>
        <w:ind w:firstLine="600" w:firstLineChars="200"/>
        <w:rPr>
          <w:rFonts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ascii="仿宋" w:hAnsi="仿宋" w:eastAsia="仿宋" w:cs="仿宋"/>
          <w:color w:val="333333"/>
          <w:sz w:val="30"/>
          <w:szCs w:val="30"/>
          <w:shd w:val="clear" w:color="auto" w:fill="FFFFFF"/>
        </w:rPr>
        <w:t>(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五</w:t>
      </w:r>
      <w:r>
        <w:rPr>
          <w:rFonts w:ascii="仿宋" w:hAnsi="仿宋" w:eastAsia="仿宋" w:cs="仿宋"/>
          <w:color w:val="333333"/>
          <w:sz w:val="30"/>
          <w:szCs w:val="30"/>
          <w:shd w:val="clear" w:color="auto" w:fill="FFFFFF"/>
        </w:rPr>
        <w:t>)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加强社会治理能力。维护社会安全稳定、落实平安建设、社会治安综合治理、应急救援和防灾减灾等相关工作。建立党的建设、综治管理、村社治理、城镇管理、综合执法、疫情防控、应急管理等一体化的统筹协调指挥机制，加强网格化服务管理标准化建设，强化信访和矛盾纠纷调解工作。化解社会矛盾纠纷。推进基层综合执法，整合一线执法力量，充分发挥属地管理优势，依法相对集中行使行政处罚权，加强对派驻机构统筹协调，强化对区域内执法力量的统一指挥。</w:t>
      </w:r>
    </w:p>
    <w:p>
      <w:pPr>
        <w:topLinePunct/>
        <w:spacing w:line="360" w:lineRule="auto"/>
        <w:ind w:firstLine="600" w:firstLineChars="200"/>
        <w:rPr>
          <w:rFonts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ascii="仿宋" w:hAnsi="仿宋" w:eastAsia="仿宋" w:cs="仿宋"/>
          <w:color w:val="333333"/>
          <w:sz w:val="30"/>
          <w:szCs w:val="30"/>
          <w:shd w:val="clear" w:color="auto" w:fill="FFFFFF"/>
        </w:rPr>
        <w:t>(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六</w:t>
      </w:r>
      <w:r>
        <w:rPr>
          <w:rFonts w:ascii="仿宋" w:hAnsi="仿宋" w:eastAsia="仿宋" w:cs="仿宋"/>
          <w:color w:val="333333"/>
          <w:sz w:val="30"/>
          <w:szCs w:val="30"/>
          <w:shd w:val="clear" w:color="auto" w:fill="FFFFFF"/>
        </w:rPr>
        <w:t>)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推进民主法治建设。领导基层自治，加强村民委员会、业委会建设，推进村民自治，健全自治平台。负责组织、指导本辖区业主大会成立和业主委员会换届工作，监督业主大会和业主委员会依法履行职责，调解处理物业管理纠纷。组织村社居民和各类组织参与村建设和管理，推进村务公开、财务公开。健全完善自治、法治、德治相结合的基层治理体系。</w:t>
      </w:r>
    </w:p>
    <w:p>
      <w:pPr>
        <w:topLinePunct/>
        <w:spacing w:line="360" w:lineRule="auto"/>
        <w:ind w:firstLine="600" w:firstLineChars="200"/>
        <w:rPr>
          <w:rFonts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（七）法律、法规规定和区委、区政府交办的其他事项</w:t>
      </w:r>
    </w:p>
    <w:p>
      <w:pPr>
        <w:topLinePunct/>
        <w:spacing w:line="360" w:lineRule="auto"/>
        <w:ind w:firstLine="482" w:firstLineChars="200"/>
        <w:rPr>
          <w:rFonts w:ascii="宋体" w:cs="宋体"/>
          <w:b/>
          <w:bCs/>
          <w:kern w:val="0"/>
          <w:sz w:val="24"/>
          <w:szCs w:val="24"/>
          <w:lang w:val="zh-CN"/>
        </w:rPr>
      </w:pPr>
      <w:r>
        <w:rPr>
          <w:rFonts w:hint="eastAsia" w:ascii="宋体" w:cs="宋体"/>
          <w:b/>
          <w:bCs/>
          <w:kern w:val="0"/>
          <w:sz w:val="24"/>
          <w:szCs w:val="24"/>
          <w:lang w:val="zh-CN"/>
        </w:rPr>
        <w:t>二、机构设置</w:t>
      </w:r>
    </w:p>
    <w:p>
      <w:pPr>
        <w:topLinePunct/>
        <w:spacing w:line="360" w:lineRule="auto"/>
        <w:ind w:firstLine="600" w:firstLineChars="200"/>
        <w:rPr>
          <w:rFonts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社棠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镇设置党政内设机构</w:t>
      </w:r>
      <w:r>
        <w:rPr>
          <w:rFonts w:ascii="仿宋" w:hAnsi="仿宋" w:eastAsia="仿宋" w:cs="仿宋"/>
          <w:color w:val="333333"/>
          <w:sz w:val="30"/>
          <w:szCs w:val="30"/>
          <w:shd w:val="clear" w:color="auto" w:fill="FFFFFF"/>
        </w:rPr>
        <w:t>5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个，具体为：党政综合办公室、党建工作办公室、经济发展和社会事务办公室（挂卫生健康办公室牌子）、社会治理和应急管理办公室、生态环境办公室。</w:t>
      </w:r>
    </w:p>
    <w:p>
      <w:pPr>
        <w:topLinePunct/>
        <w:spacing w:line="360" w:lineRule="auto"/>
        <w:ind w:firstLine="600" w:firstLineChars="200"/>
        <w:rPr>
          <w:rFonts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社棠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镇设置事业单位</w:t>
      </w:r>
      <w:r>
        <w:rPr>
          <w:rFonts w:ascii="仿宋" w:hAnsi="仿宋" w:eastAsia="仿宋" w:cs="仿宋"/>
          <w:color w:val="333333"/>
          <w:sz w:val="30"/>
          <w:szCs w:val="30"/>
          <w:shd w:val="clear" w:color="auto" w:fill="FFFFFF"/>
        </w:rPr>
        <w:t>5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个，具体为：综合行政执法队、政务（便民）服务中心（挂退役军人服务站牌子）、社会治安综合治理中心、公共事务服务中心（挂综合文化站牌子）、农业农村综合服务中心（挂农产品质量检测服务中心、农村公路管理所牌子）。</w:t>
      </w:r>
    </w:p>
    <w:p>
      <w:pPr>
        <w:pStyle w:val="4"/>
        <w:shd w:val="clear" w:color="auto" w:fill="FFFFFF"/>
        <w:spacing w:before="0" w:beforeLines="0" w:beforeAutospacing="0" w:after="225" w:afterLines="0" w:afterAutospacing="0" w:line="420" w:lineRule="atLeast"/>
        <w:ind w:firstLine="420"/>
        <w:jc w:val="both"/>
        <w:rPr>
          <w:rFonts w:hint="eastAsia" w:ascii="仿宋" w:hAnsi="仿宋" w:eastAsia="仿宋" w:cs="仿宋"/>
          <w:color w:val="333333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0"/>
          <w:szCs w:val="30"/>
          <w:shd w:val="clear" w:color="auto" w:fill="FFFFFF"/>
          <w:lang w:val="en-US" w:eastAsia="zh-CN" w:bidi="ar-SA"/>
        </w:rPr>
        <w:t>核定核定社棠镇党政机关行政编制25名，另外核定事业单位事业编制49名。现在行政在册27人，事业在册63人。</w:t>
      </w:r>
    </w:p>
    <w:p>
      <w:pPr>
        <w:spacing w:line="360" w:lineRule="auto"/>
        <w:ind w:right="147"/>
        <w:jc w:val="left"/>
        <w:rPr>
          <w:rFonts w:ascii="宋体" w:hAnsi="宋体"/>
          <w:kern w:val="0"/>
          <w:sz w:val="28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2.</w:t>
      </w:r>
      <w:r>
        <w:rPr>
          <w:rFonts w:hint="eastAsia" w:ascii="宋体" w:hAnsi="宋体"/>
          <w:kern w:val="0"/>
          <w:sz w:val="28"/>
          <w:szCs w:val="24"/>
          <w:shd w:val="clear" w:color="auto" w:fill="FFFFFF"/>
        </w:rPr>
        <w:t>机构情况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280" w:firstLineChars="100"/>
        <w:jc w:val="both"/>
        <w:rPr>
          <w:rFonts w:eastAsia="仿宋_GB2312"/>
          <w:spacing w:val="-6"/>
          <w:sz w:val="32"/>
          <w:szCs w:val="32"/>
          <w:lang w:val="zh-CN"/>
        </w:rPr>
      </w:pPr>
      <w:r>
        <w:rPr>
          <w:rFonts w:hint="eastAsia" w:ascii="宋体" w:hAnsi="宋体"/>
          <w:sz w:val="28"/>
          <w:shd w:val="clear" w:color="auto" w:fill="FFFFFF"/>
        </w:rPr>
        <w:t>独立编制结构，机构数为1。</w:t>
      </w:r>
    </w:p>
    <w:p>
      <w:pPr>
        <w:snapToGrid w:val="0"/>
        <w:spacing w:line="576" w:lineRule="exact"/>
        <w:rPr>
          <w:rFonts w:eastAsia="仿宋_GB2312"/>
          <w:spacing w:val="-6"/>
          <w:sz w:val="32"/>
          <w:szCs w:val="32"/>
          <w:lang w:val="zh-CN"/>
        </w:rPr>
      </w:pPr>
      <w:r>
        <w:rPr>
          <w:rFonts w:eastAsia="仿宋_GB2312"/>
          <w:spacing w:val="-6"/>
          <w:sz w:val="32"/>
          <w:szCs w:val="32"/>
          <w:lang w:val="zh-CN"/>
        </w:rPr>
        <w:t>（三）</w:t>
      </w:r>
      <w:r>
        <w:rPr>
          <w:rFonts w:hint="eastAsia" w:eastAsia="仿宋_GB2312"/>
          <w:spacing w:val="-6"/>
          <w:sz w:val="32"/>
          <w:szCs w:val="32"/>
        </w:rPr>
        <w:t>202</w:t>
      </w:r>
      <w:r>
        <w:rPr>
          <w:rFonts w:hint="eastAsia" w:eastAsia="仿宋_GB2312"/>
          <w:spacing w:val="-6"/>
          <w:sz w:val="32"/>
          <w:szCs w:val="32"/>
          <w:lang w:val="en-US" w:eastAsia="zh-CN"/>
        </w:rPr>
        <w:t>1</w:t>
      </w:r>
      <w:r>
        <w:rPr>
          <w:rFonts w:eastAsia="仿宋_GB2312"/>
          <w:spacing w:val="-6"/>
          <w:sz w:val="32"/>
          <w:szCs w:val="32"/>
          <w:lang w:val="zh-CN"/>
        </w:rPr>
        <w:t>年度重点工作计划</w:t>
      </w:r>
    </w:p>
    <w:p>
      <w:pPr>
        <w:snapToGrid w:val="0"/>
        <w:spacing w:line="576" w:lineRule="exact"/>
        <w:ind w:firstLine="616" w:firstLineChars="200"/>
        <w:rPr>
          <w:rFonts w:eastAsia="仿宋_GB2312"/>
          <w:spacing w:val="-6"/>
          <w:sz w:val="32"/>
          <w:szCs w:val="32"/>
          <w:lang w:val="zh-CN"/>
        </w:rPr>
      </w:pPr>
      <w:r>
        <w:rPr>
          <w:rFonts w:hint="eastAsia" w:eastAsia="仿宋_GB2312"/>
          <w:spacing w:val="-6"/>
          <w:sz w:val="32"/>
          <w:szCs w:val="32"/>
          <w:lang w:val="zh-CN"/>
        </w:rPr>
        <w:t>保居民就业、保基本民生、保市场主体、保粮食能源安全、保产业链供应链稳定、保基层运转。</w:t>
      </w:r>
    </w:p>
    <w:p>
      <w:pPr>
        <w:snapToGrid w:val="0"/>
        <w:spacing w:line="576" w:lineRule="exact"/>
        <w:ind w:firstLine="616" w:firstLineChars="200"/>
        <w:rPr>
          <w:rFonts w:ascii="黑体" w:hAnsi="黑体" w:eastAsia="黑体"/>
          <w:spacing w:val="-6"/>
          <w:sz w:val="32"/>
          <w:szCs w:val="32"/>
          <w:lang w:val="zh-CN"/>
        </w:rPr>
      </w:pPr>
      <w:r>
        <w:rPr>
          <w:rFonts w:ascii="黑体" w:hAnsi="黑体" w:eastAsia="黑体"/>
          <w:spacing w:val="-6"/>
          <w:sz w:val="32"/>
          <w:szCs w:val="32"/>
          <w:lang w:val="zh-CN"/>
        </w:rPr>
        <w:t>二、部门整体支出管理及使用情况</w:t>
      </w:r>
    </w:p>
    <w:p>
      <w:pPr>
        <w:spacing w:line="576" w:lineRule="exact"/>
        <w:ind w:firstLine="616" w:firstLineChars="200"/>
        <w:rPr>
          <w:rFonts w:eastAsia="仿宋_GB2312"/>
          <w:spacing w:val="-6"/>
          <w:sz w:val="32"/>
          <w:szCs w:val="32"/>
          <w:lang w:val="zh-CN"/>
        </w:rPr>
      </w:pPr>
      <w:r>
        <w:rPr>
          <w:rFonts w:eastAsia="仿宋_GB2312"/>
          <w:spacing w:val="-6"/>
          <w:sz w:val="32"/>
          <w:szCs w:val="32"/>
          <w:lang w:val="zh-CN"/>
        </w:rPr>
        <w:t>（一）基本支出。</w:t>
      </w:r>
    </w:p>
    <w:p>
      <w:pPr>
        <w:spacing w:line="576" w:lineRule="exact"/>
        <w:ind w:firstLine="640" w:firstLineChars="200"/>
        <w:rPr>
          <w:rFonts w:eastAsia="仿宋_GB2312"/>
          <w:spacing w:val="-6"/>
          <w:sz w:val="32"/>
          <w:szCs w:val="32"/>
          <w:lang w:val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24"/>
        </w:rPr>
        <w:t>2021年度一般公共预算财政拨款支出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24"/>
          <w:lang w:val="en-US" w:eastAsia="zh-CN"/>
        </w:rPr>
        <w:t>1041.29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24"/>
        </w:rPr>
        <w:t>万元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24"/>
          <w:lang w:val="zh-CN"/>
        </w:rPr>
        <w:t>。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24"/>
        </w:rPr>
        <w:t>其中：人员经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24"/>
          <w:lang w:val="zh-CN"/>
        </w:rPr>
        <w:t>费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24"/>
          <w:lang w:val="en-US" w:eastAsia="zh-CN"/>
        </w:rPr>
        <w:t>984.82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24"/>
          <w:lang w:val="zh-CN"/>
        </w:rPr>
        <w:t>万元，主要包括基本工资、津贴补贴、绩效工资、奖金；公用经费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24"/>
          <w:lang w:val="en-US" w:eastAsia="zh-CN"/>
        </w:rPr>
        <w:t>56.47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24"/>
          <w:lang w:val="zh-CN"/>
        </w:rPr>
        <w:t>万元，主要包括办公费、印刷费、咨询费、手续费、水费、电费、邮电费、取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24"/>
        </w:rPr>
        <w:t>暖费、差旅费、维修（护） 费、租赁费、培训费、公务接待费、专用材料费、劳务费、委托业务费、工会经费、福利费、公务用车运行维费、其他交通费用、办公设备购置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24"/>
          <w:lang w:val="en-US" w:eastAsia="zh-CN"/>
        </w:rPr>
        <w:t>等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24"/>
        </w:rPr>
        <w:t>。</w:t>
      </w:r>
    </w:p>
    <w:p>
      <w:pPr>
        <w:numPr>
          <w:ilvl w:val="0"/>
          <w:numId w:val="2"/>
        </w:numPr>
        <w:spacing w:line="576" w:lineRule="exact"/>
        <w:ind w:firstLine="616" w:firstLineChars="200"/>
        <w:rPr>
          <w:rFonts w:eastAsia="仿宋_GB2312"/>
          <w:spacing w:val="-6"/>
          <w:sz w:val="32"/>
          <w:szCs w:val="32"/>
          <w:lang w:val="zh-CN"/>
        </w:rPr>
      </w:pPr>
      <w:r>
        <w:rPr>
          <w:rFonts w:eastAsia="仿宋_GB2312"/>
          <w:spacing w:val="-6"/>
          <w:sz w:val="32"/>
          <w:szCs w:val="32"/>
          <w:lang w:val="zh-CN"/>
        </w:rPr>
        <w:t>项目支出。</w:t>
      </w:r>
    </w:p>
    <w:p>
      <w:pPr>
        <w:spacing w:line="576" w:lineRule="exact"/>
        <w:ind w:firstLine="616" w:firstLineChars="200"/>
        <w:rPr>
          <w:rFonts w:hint="eastAsia" w:eastAsia="仿宋_GB2312"/>
          <w:spacing w:val="-6"/>
          <w:sz w:val="32"/>
          <w:szCs w:val="32"/>
          <w:lang w:val="zh-CN"/>
        </w:rPr>
      </w:pPr>
      <w:r>
        <w:rPr>
          <w:rFonts w:hint="eastAsia" w:eastAsia="仿宋_GB2312"/>
          <w:spacing w:val="-6"/>
          <w:sz w:val="32"/>
          <w:szCs w:val="32"/>
          <w:lang w:val="zh-CN"/>
        </w:rPr>
        <w:t>本年项目支出2,010.55万元，其中一般公共服务支出911.53万元，公共安全支出4.49万元,文化旅游体育与传媒支出0.96万元，社会保障和就业支出104.71万元,卫生健康支出48.17万元,节能环保支出29.3万元，城乡社区支出27.33</w:t>
      </w:r>
      <w:r>
        <w:rPr>
          <w:rFonts w:hint="eastAsia" w:eastAsia="仿宋_GB2312"/>
          <w:spacing w:val="-6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spacing w:val="-6"/>
          <w:sz w:val="32"/>
          <w:szCs w:val="32"/>
          <w:lang w:val="zh-CN"/>
        </w:rPr>
        <w:t>农林水支出1,853.43万元，住房保障支出69.53万元，灾害防治及应急管理支出0.79万万元。</w:t>
      </w:r>
    </w:p>
    <w:p>
      <w:pPr>
        <w:spacing w:line="576" w:lineRule="exact"/>
        <w:ind w:firstLine="616" w:firstLineChars="200"/>
        <w:rPr>
          <w:rFonts w:hint="eastAsia" w:eastAsia="仿宋_GB2312"/>
          <w:spacing w:val="-6"/>
          <w:sz w:val="32"/>
          <w:szCs w:val="32"/>
          <w:lang w:val="zh-CN"/>
        </w:rPr>
      </w:pPr>
      <w:r>
        <w:rPr>
          <w:rFonts w:eastAsia="仿宋_GB2312"/>
          <w:spacing w:val="-6"/>
          <w:sz w:val="32"/>
          <w:szCs w:val="32"/>
          <w:lang w:val="zh-CN"/>
        </w:rPr>
        <w:t>（三）“三公”经费情况。</w:t>
      </w:r>
      <w:bookmarkStart w:id="0" w:name="_Toc390113217"/>
    </w:p>
    <w:p>
      <w:pPr>
        <w:spacing w:line="576" w:lineRule="exact"/>
        <w:ind w:firstLine="640" w:firstLineChars="200"/>
        <w:rPr>
          <w:rFonts w:eastAsia="仿宋_GB2312"/>
          <w:spacing w:val="-6"/>
          <w:sz w:val="32"/>
          <w:szCs w:val="32"/>
          <w:lang w:val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24"/>
        </w:rPr>
        <w:t>202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24"/>
          <w:lang w:val="en-US" w:eastAsia="zh-CN"/>
        </w:rPr>
        <w:t>1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24"/>
        </w:rPr>
        <w:t>年度“三公”经费财政拨款支出决算中，因公出国（境） 费支出决算0万元；公务用车购置及运行费支出决算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0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24"/>
        </w:rPr>
        <w:t>万元。具体情况如下：</w:t>
      </w:r>
    </w:p>
    <w:p>
      <w:pPr>
        <w:keepNext/>
        <w:keepLines/>
        <w:suppressLineNumbers/>
        <w:ind w:firstLine="643"/>
        <w:jc w:val="left"/>
        <w:rPr>
          <w:rFonts w:ascii="Calibri" w:hAnsi="Calibri" w:eastAsia="Calibri"/>
          <w:szCs w:val="24"/>
        </w:rPr>
      </w:pPr>
      <w:r>
        <w:rPr>
          <w:rFonts w:hint="eastAsia" w:ascii="仿宋_GB2312" w:hAnsi="仿宋_GB2312" w:eastAsia="仿宋_GB2312"/>
          <w:b/>
          <w:color w:val="000000"/>
          <w:kern w:val="0"/>
          <w:sz w:val="32"/>
          <w:szCs w:val="24"/>
        </w:rPr>
        <w:t>1.因公出国（境）费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24"/>
        </w:rPr>
        <w:t>预算为0万元，支出决算为0万元。</w:t>
      </w:r>
    </w:p>
    <w:p>
      <w:pPr>
        <w:keepNext/>
        <w:keepLines/>
        <w:suppressLineNumbers/>
        <w:ind w:firstLine="643"/>
        <w:jc w:val="left"/>
        <w:rPr>
          <w:rFonts w:ascii="Calibri" w:hAnsi="Calibri" w:eastAsia="Calibri"/>
          <w:szCs w:val="24"/>
        </w:rPr>
      </w:pPr>
      <w:r>
        <w:rPr>
          <w:rFonts w:hint="eastAsia" w:ascii="仿宋_GB2312" w:hAnsi="仿宋_GB2312" w:eastAsia="仿宋_GB2312"/>
          <w:b/>
          <w:color w:val="000000"/>
          <w:kern w:val="0"/>
          <w:sz w:val="32"/>
          <w:szCs w:val="24"/>
        </w:rPr>
        <w:t>2.公务用车购置及运行费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24"/>
        </w:rPr>
        <w:t>预算为</w:t>
      </w:r>
      <w:r>
        <w:rPr>
          <w:rFonts w:hint="eastAsia" w:ascii="仿宋_GB2312" w:hAnsi="仿宋_GB2312" w:eastAsia="仿宋_GB2312"/>
          <w:sz w:val="32"/>
          <w:szCs w:val="24"/>
        </w:rPr>
        <w:t>3.5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24"/>
        </w:rPr>
        <w:t>万元，支出决算为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0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24"/>
        </w:rPr>
        <w:t>万元。</w:t>
      </w:r>
      <w:r>
        <w:rPr>
          <w:rFonts w:hint="eastAsia" w:ascii="仿宋_GB2312" w:hAnsi="仿宋_GB2312" w:eastAsia="仿宋_GB2312"/>
          <w:b/>
          <w:color w:val="000000"/>
          <w:kern w:val="0"/>
          <w:sz w:val="32"/>
          <w:szCs w:val="24"/>
        </w:rPr>
        <w:t>公务用车购置支出</w:t>
      </w:r>
      <w:r>
        <w:rPr>
          <w:rFonts w:hint="eastAsia" w:ascii="仿宋_GB2312" w:hAnsi="仿宋_GB2312" w:eastAsia="仿宋_GB2312"/>
          <w:sz w:val="32"/>
          <w:szCs w:val="24"/>
        </w:rPr>
        <w:t>0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24"/>
        </w:rPr>
        <w:t>万元。我单位本年更新公务用车</w:t>
      </w:r>
      <w:r>
        <w:rPr>
          <w:rFonts w:hint="eastAsia" w:ascii="仿宋_GB2312" w:hAnsi="仿宋_GB2312" w:eastAsia="仿宋_GB2312"/>
          <w:sz w:val="32"/>
          <w:szCs w:val="24"/>
        </w:rPr>
        <w:t>0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24"/>
        </w:rPr>
        <w:t xml:space="preserve">辆。 </w:t>
      </w:r>
      <w:r>
        <w:rPr>
          <w:rFonts w:hint="eastAsia" w:ascii="仿宋_GB2312" w:hAnsi="仿宋_GB2312" w:eastAsia="仿宋_GB2312"/>
          <w:b/>
          <w:color w:val="000000"/>
          <w:kern w:val="0"/>
          <w:sz w:val="32"/>
          <w:szCs w:val="24"/>
        </w:rPr>
        <w:t>公务用车运行支出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0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24"/>
        </w:rPr>
        <w:t>万元。</w:t>
      </w:r>
    </w:p>
    <w:p>
      <w:pPr>
        <w:numPr>
          <w:ilvl w:val="0"/>
          <w:numId w:val="3"/>
        </w:numPr>
        <w:spacing w:line="576" w:lineRule="exact"/>
        <w:ind w:firstLine="643" w:firstLineChars="200"/>
        <w:rPr>
          <w:rFonts w:ascii="仿宋_GB2312" w:hAnsi="仿宋_GB2312" w:eastAsia="仿宋_GB2312"/>
          <w:color w:val="000000"/>
          <w:kern w:val="0"/>
          <w:sz w:val="32"/>
          <w:szCs w:val="24"/>
        </w:rPr>
      </w:pPr>
      <w:r>
        <w:rPr>
          <w:rFonts w:hint="eastAsia" w:ascii="仿宋_GB2312" w:hAnsi="仿宋_GB2312" w:eastAsia="仿宋_GB2312"/>
          <w:b/>
          <w:color w:val="000000"/>
          <w:kern w:val="0"/>
          <w:sz w:val="32"/>
          <w:szCs w:val="24"/>
        </w:rPr>
        <w:t>公务接待费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24"/>
        </w:rPr>
        <w:t>预算为</w:t>
      </w:r>
      <w:r>
        <w:rPr>
          <w:rFonts w:hint="eastAsia" w:ascii="仿宋_GB2312" w:hAnsi="仿宋_GB2312" w:eastAsia="仿宋_GB2312"/>
          <w:sz w:val="32"/>
          <w:szCs w:val="24"/>
        </w:rPr>
        <w:t>0.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2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24"/>
        </w:rPr>
        <w:t>万元，支出决算为</w:t>
      </w:r>
      <w:r>
        <w:rPr>
          <w:rFonts w:hint="eastAsia" w:ascii="仿宋_GB2312" w:hAnsi="仿宋_GB2312" w:eastAsia="仿宋_GB2312"/>
          <w:sz w:val="32"/>
          <w:szCs w:val="24"/>
        </w:rPr>
        <w:t>0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.2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24"/>
        </w:rPr>
        <w:t>万元，完成预算的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24"/>
          <w:lang w:val="en-US" w:eastAsia="zh-CN"/>
        </w:rPr>
        <w:t>10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0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24"/>
        </w:rPr>
        <w:t>%，主要是积极贯彻落实中央关于厉行节约的要求，从严控制公务接待行为。</w:t>
      </w:r>
    </w:p>
    <w:p>
      <w:pPr>
        <w:numPr>
          <w:ilvl w:val="0"/>
          <w:numId w:val="4"/>
        </w:numPr>
        <w:spacing w:line="576" w:lineRule="exact"/>
        <w:ind w:firstLine="616" w:firstLineChars="200"/>
        <w:rPr>
          <w:rFonts w:ascii="黑体" w:hAnsi="黑体" w:eastAsia="黑体"/>
          <w:spacing w:val="-6"/>
          <w:sz w:val="32"/>
          <w:szCs w:val="32"/>
          <w:lang w:val="zh-CN"/>
        </w:rPr>
      </w:pPr>
      <w:r>
        <w:rPr>
          <w:rFonts w:ascii="黑体" w:hAnsi="黑体" w:eastAsia="黑体"/>
          <w:spacing w:val="-6"/>
          <w:sz w:val="32"/>
          <w:szCs w:val="32"/>
          <w:lang w:val="zh-CN"/>
        </w:rPr>
        <w:t>部门整体支出绩效情况</w:t>
      </w:r>
      <w:bookmarkEnd w:id="0"/>
      <w:bookmarkStart w:id="1" w:name="_Toc390113216"/>
      <w:bookmarkStart w:id="2" w:name="_Toc390113225"/>
    </w:p>
    <w:p>
      <w:pPr>
        <w:ind w:left="420" w:left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1、基本支出人员经费预决算差异率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年度人员经费支出预算金额为</w:t>
      </w:r>
      <w:r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1,048.14</w:t>
      </w:r>
      <w:r>
        <w:rPr>
          <w:rFonts w:hint="eastAsia" w:ascii="仿宋" w:hAnsi="仿宋" w:eastAsia="仿宋" w:cs="仿宋"/>
          <w:sz w:val="28"/>
          <w:szCs w:val="28"/>
        </w:rPr>
        <w:t>万元，年终决算金额为</w:t>
      </w:r>
      <w:r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984.82</w:t>
      </w:r>
      <w:r>
        <w:rPr>
          <w:rFonts w:hint="eastAsia" w:ascii="仿宋" w:hAnsi="仿宋" w:eastAsia="仿宋" w:cs="仿宋"/>
          <w:sz w:val="28"/>
          <w:szCs w:val="28"/>
        </w:rPr>
        <w:t>万元，人员经费支出预决算年度差异为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6.04</w:t>
      </w:r>
      <w:r>
        <w:rPr>
          <w:rFonts w:hint="eastAsia" w:ascii="仿宋" w:hAnsi="仿宋" w:eastAsia="仿宋" w:cs="仿宋"/>
          <w:sz w:val="28"/>
          <w:szCs w:val="28"/>
        </w:rPr>
        <w:t>%。差异的主要原因是本年有人员调动。</w:t>
      </w: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2、财政拨款结转和结余率</w:t>
      </w:r>
    </w:p>
    <w:p>
      <w:pPr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年末财政拨款结转资金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139.02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万元，财政拨款结余率为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2.41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%，</w:t>
      </w:r>
      <w:r>
        <w:rPr>
          <w:rFonts w:hint="eastAsia" w:ascii="仿宋" w:hAnsi="仿宋" w:eastAsia="仿宋" w:cs="仿宋"/>
          <w:sz w:val="28"/>
          <w:szCs w:val="28"/>
        </w:rPr>
        <w:t>原因主要是认真执行预算，通过国库集中支付加快了支出进度。</w:t>
      </w:r>
    </w:p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、财政拨款结转和结余上下年变动率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年末财政拨款结转资金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139.02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万元，</w:t>
      </w: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年度本单位年终结转和结余金额为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905.75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万元</w:t>
      </w:r>
      <w:r>
        <w:rPr>
          <w:rFonts w:hint="eastAsia" w:ascii="仿宋" w:hAnsi="仿宋" w:eastAsia="仿宋" w:cs="仿宋"/>
          <w:sz w:val="28"/>
          <w:szCs w:val="28"/>
        </w:rPr>
        <w:t>，财政拨款结转和结余上下年变动率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15.35</w:t>
      </w:r>
      <w:r>
        <w:rPr>
          <w:rFonts w:hint="eastAsia" w:ascii="仿宋" w:hAnsi="仿宋" w:eastAsia="仿宋" w:cs="仿宋"/>
          <w:sz w:val="28"/>
          <w:szCs w:val="28"/>
        </w:rPr>
        <w:t>%。减少原因主要是加快了支付进度。</w:t>
      </w:r>
    </w:p>
    <w:p>
      <w:pPr>
        <w:numPr>
          <w:ilvl w:val="0"/>
          <w:numId w:val="4"/>
        </w:numPr>
        <w:spacing w:line="576" w:lineRule="exact"/>
        <w:ind w:firstLine="616" w:firstLineChars="200"/>
        <w:rPr>
          <w:rFonts w:ascii="黑体" w:hAnsi="黑体" w:eastAsia="黑体"/>
          <w:spacing w:val="-6"/>
          <w:sz w:val="32"/>
          <w:szCs w:val="32"/>
          <w:lang w:val="zh-CN"/>
        </w:rPr>
      </w:pPr>
      <w:r>
        <w:rPr>
          <w:rFonts w:ascii="黑体" w:hAnsi="黑体" w:eastAsia="黑体"/>
          <w:spacing w:val="-6"/>
          <w:sz w:val="32"/>
          <w:szCs w:val="32"/>
          <w:lang w:val="zh-CN"/>
        </w:rPr>
        <w:t>绩效评价工作情况</w:t>
      </w:r>
      <w:bookmarkEnd w:id="1"/>
    </w:p>
    <w:p>
      <w:pPr>
        <w:pStyle w:val="4"/>
        <w:widowControl/>
        <w:shd w:val="clear" w:color="auto" w:fill="FFFFFF"/>
        <w:spacing w:before="0" w:beforeAutospacing="0" w:after="0" w:afterAutospacing="0" w:line="420" w:lineRule="atLeast"/>
        <w:ind w:firstLine="616" w:firstLineChars="200"/>
        <w:rPr>
          <w:rFonts w:eastAsia="仿宋_GB2312"/>
          <w:spacing w:val="-6"/>
          <w:kern w:val="2"/>
          <w:sz w:val="32"/>
          <w:szCs w:val="32"/>
        </w:rPr>
      </w:pPr>
      <w:r>
        <w:rPr>
          <w:rFonts w:hint="eastAsia" w:eastAsia="仿宋_GB2312"/>
          <w:spacing w:val="-6"/>
          <w:kern w:val="2"/>
          <w:sz w:val="32"/>
          <w:szCs w:val="32"/>
        </w:rPr>
        <w:t>（一）绩效评价目的</w:t>
      </w:r>
    </w:p>
    <w:p>
      <w:pPr>
        <w:pStyle w:val="4"/>
        <w:widowControl/>
        <w:shd w:val="clear" w:color="auto" w:fill="FFFFFF"/>
        <w:spacing w:before="0" w:beforeAutospacing="0" w:after="0" w:afterAutospacing="0" w:line="420" w:lineRule="atLeast"/>
        <w:rPr>
          <w:rFonts w:eastAsia="仿宋_GB2312"/>
          <w:spacing w:val="-6"/>
          <w:kern w:val="2"/>
          <w:sz w:val="32"/>
          <w:szCs w:val="32"/>
        </w:rPr>
      </w:pPr>
      <w:r>
        <w:rPr>
          <w:rFonts w:hint="eastAsia" w:eastAsia="仿宋_GB2312"/>
          <w:spacing w:val="-6"/>
          <w:kern w:val="2"/>
          <w:sz w:val="32"/>
          <w:szCs w:val="32"/>
        </w:rPr>
        <w:t>　　绩效评价的目的是对我镇整体收支做出正确的评价，客观合理的安置项目组人员，调动项目组人员工作积极性，提高工作绩效。</w:t>
      </w:r>
    </w:p>
    <w:p>
      <w:pPr>
        <w:pStyle w:val="4"/>
        <w:widowControl/>
        <w:shd w:val="clear" w:color="auto" w:fill="FFFFFF"/>
        <w:spacing w:before="0" w:beforeAutospacing="0" w:after="0" w:afterAutospacing="0" w:line="420" w:lineRule="atLeast"/>
        <w:rPr>
          <w:rFonts w:eastAsia="仿宋_GB2312"/>
          <w:spacing w:val="-6"/>
          <w:kern w:val="2"/>
          <w:sz w:val="32"/>
          <w:szCs w:val="32"/>
        </w:rPr>
      </w:pPr>
      <w:r>
        <w:rPr>
          <w:rFonts w:hint="eastAsia" w:eastAsia="仿宋_GB2312"/>
          <w:spacing w:val="-6"/>
          <w:kern w:val="2"/>
          <w:sz w:val="32"/>
          <w:szCs w:val="32"/>
        </w:rPr>
        <w:t>　　（二）绩效评价工作过程</w:t>
      </w:r>
    </w:p>
    <w:p>
      <w:pPr>
        <w:pStyle w:val="4"/>
        <w:widowControl/>
        <w:shd w:val="clear" w:color="auto" w:fill="FFFFFF"/>
        <w:spacing w:before="0" w:beforeAutospacing="0" w:after="0" w:afterAutospacing="0" w:line="420" w:lineRule="atLeast"/>
        <w:rPr>
          <w:rFonts w:eastAsia="仿宋_GB2312"/>
          <w:spacing w:val="-6"/>
          <w:kern w:val="2"/>
          <w:sz w:val="32"/>
          <w:szCs w:val="32"/>
        </w:rPr>
      </w:pPr>
      <w:r>
        <w:rPr>
          <w:rFonts w:hint="eastAsia" w:eastAsia="仿宋_GB2312"/>
          <w:spacing w:val="-6"/>
          <w:kern w:val="2"/>
          <w:sz w:val="32"/>
          <w:szCs w:val="32"/>
        </w:rPr>
        <w:t>　　按照区财政局关于财政项目支出绩效自评工作的要求，成立了以</w:t>
      </w:r>
      <w:r>
        <w:rPr>
          <w:rFonts w:hint="eastAsia" w:eastAsia="仿宋_GB2312"/>
          <w:spacing w:val="-6"/>
          <w:kern w:val="2"/>
          <w:sz w:val="32"/>
          <w:szCs w:val="32"/>
          <w:lang w:val="en-US" w:eastAsia="zh-CN"/>
        </w:rPr>
        <w:t>熊永辉</w:t>
      </w:r>
      <w:r>
        <w:rPr>
          <w:rFonts w:hint="eastAsia" w:eastAsia="仿宋_GB2312"/>
          <w:spacing w:val="-6"/>
          <w:kern w:val="2"/>
          <w:sz w:val="32"/>
          <w:szCs w:val="32"/>
        </w:rPr>
        <w:t>为组长的单位自评小组，对202</w:t>
      </w:r>
      <w:r>
        <w:rPr>
          <w:rFonts w:hint="eastAsia" w:eastAsia="仿宋_GB2312"/>
          <w:spacing w:val="-6"/>
          <w:kern w:val="2"/>
          <w:sz w:val="32"/>
          <w:szCs w:val="32"/>
          <w:lang w:val="en-US" w:eastAsia="zh-CN"/>
        </w:rPr>
        <w:t>1</w:t>
      </w:r>
      <w:r>
        <w:rPr>
          <w:rFonts w:hint="eastAsia" w:eastAsia="仿宋_GB2312"/>
          <w:spacing w:val="-6"/>
          <w:kern w:val="2"/>
          <w:sz w:val="32"/>
          <w:szCs w:val="32"/>
        </w:rPr>
        <w:t>年整体收支绩效开展组织实施和分析评价。</w:t>
      </w:r>
    </w:p>
    <w:p>
      <w:pPr>
        <w:numPr>
          <w:ilvl w:val="0"/>
          <w:numId w:val="4"/>
        </w:numPr>
        <w:spacing w:line="576" w:lineRule="exact"/>
        <w:ind w:firstLine="616" w:firstLineChars="200"/>
        <w:rPr>
          <w:rFonts w:ascii="黑体" w:hAnsi="黑体" w:eastAsia="黑体"/>
          <w:spacing w:val="-6"/>
          <w:sz w:val="32"/>
          <w:szCs w:val="32"/>
          <w:lang w:val="zh-CN"/>
        </w:rPr>
      </w:pPr>
      <w:r>
        <w:rPr>
          <w:rFonts w:ascii="黑体" w:hAnsi="黑体" w:eastAsia="黑体"/>
          <w:spacing w:val="-6"/>
          <w:sz w:val="32"/>
          <w:szCs w:val="32"/>
          <w:lang w:val="zh-CN"/>
        </w:rPr>
        <w:t>存在的主要问题</w:t>
      </w:r>
      <w:bookmarkEnd w:id="2"/>
    </w:p>
    <w:p>
      <w:pPr>
        <w:spacing w:line="576" w:lineRule="exact"/>
        <w:ind w:left="420" w:leftChars="200" w:firstLine="616" w:firstLineChars="200"/>
        <w:rPr>
          <w:rFonts w:ascii="黑体" w:hAnsi="黑体" w:eastAsia="黑体"/>
          <w:spacing w:val="-6"/>
          <w:sz w:val="32"/>
          <w:szCs w:val="32"/>
          <w:lang w:val="zh-CN"/>
        </w:rPr>
      </w:pPr>
      <w:r>
        <w:rPr>
          <w:rFonts w:hint="eastAsia" w:eastAsia="仿宋_GB2312"/>
          <w:spacing w:val="-6"/>
          <w:sz w:val="32"/>
          <w:szCs w:val="32"/>
        </w:rPr>
        <w:t>规范绩效管理方面需要细化，指标的设计需要更加的科学性。</w:t>
      </w:r>
    </w:p>
    <w:p>
      <w:pPr>
        <w:numPr>
          <w:ilvl w:val="0"/>
          <w:numId w:val="4"/>
        </w:numPr>
        <w:spacing w:line="576" w:lineRule="exact"/>
        <w:ind w:firstLine="616" w:firstLineChars="200"/>
        <w:rPr>
          <w:rFonts w:ascii="黑体" w:hAnsi="黑体" w:eastAsia="黑体"/>
          <w:spacing w:val="-6"/>
          <w:sz w:val="32"/>
          <w:szCs w:val="32"/>
          <w:lang w:val="zh-CN"/>
        </w:rPr>
      </w:pPr>
      <w:r>
        <w:rPr>
          <w:rFonts w:ascii="黑体" w:hAnsi="黑体" w:eastAsia="黑体"/>
          <w:spacing w:val="-6"/>
          <w:sz w:val="32"/>
          <w:szCs w:val="32"/>
          <w:lang w:val="zh-CN"/>
        </w:rPr>
        <w:t>改进措施和有关建议</w:t>
      </w:r>
    </w:p>
    <w:p>
      <w:pPr>
        <w:pStyle w:val="4"/>
        <w:widowControl/>
        <w:spacing w:before="0" w:beforeAutospacing="0" w:after="0" w:afterAutospacing="0" w:line="420" w:lineRule="atLeast"/>
        <w:ind w:firstLine="960" w:firstLineChars="3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建立健全政府绩效管理机制，完善公共财政体系，促进预算科学化精细化管理，充分提高财政资金使用效益，提高政府公共服务水平，建成全方位、全过程、全覆盖的预算绩效管理体系，进一步强化了支出责任和效率意识，确保资金安全。</w:t>
      </w:r>
    </w:p>
    <w:p>
      <w:pPr>
        <w:pStyle w:val="4"/>
        <w:widowControl/>
        <w:spacing w:before="0" w:beforeAutospacing="0" w:after="0" w:afterAutospacing="0" w:line="420" w:lineRule="atLeast"/>
        <w:ind w:firstLine="420"/>
        <w:rPr>
          <w:rFonts w:eastAsia="仿宋_GB2312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七、报告附表</w:t>
      </w:r>
    </w:p>
    <w:p>
      <w:pPr>
        <w:ind w:firstLine="420" w:firstLineChars="200"/>
        <w:rPr>
          <w:rFonts w:eastAsia="仿宋_GB2312"/>
          <w:szCs w:val="32"/>
        </w:rPr>
      </w:pPr>
    </w:p>
    <w:p>
      <w:pPr>
        <w:ind w:firstLine="420" w:firstLineChars="200"/>
        <w:rPr>
          <w:rFonts w:eastAsia="仿宋_GB2312"/>
          <w:szCs w:val="32"/>
        </w:rPr>
      </w:pPr>
    </w:p>
    <w:p>
      <w:pPr>
        <w:ind w:firstLine="420" w:firstLineChars="200"/>
        <w:rPr>
          <w:rFonts w:eastAsia="仿宋_GB2312"/>
          <w:szCs w:val="32"/>
        </w:rPr>
      </w:pPr>
    </w:p>
    <w:p>
      <w:pPr>
        <w:ind w:firstLine="420" w:firstLineChars="200"/>
        <w:rPr>
          <w:rFonts w:eastAsia="仿宋_GB2312"/>
          <w:szCs w:val="32"/>
        </w:rPr>
      </w:pPr>
    </w:p>
    <w:p>
      <w:pPr>
        <w:ind w:firstLine="420" w:firstLineChars="200"/>
        <w:rPr>
          <w:rFonts w:eastAsia="仿宋_GB2312"/>
          <w:szCs w:val="32"/>
        </w:rPr>
      </w:pPr>
    </w:p>
    <w:p>
      <w:pPr>
        <w:ind w:firstLine="420" w:firstLineChars="200"/>
        <w:rPr>
          <w:rFonts w:eastAsia="仿宋_GB2312"/>
          <w:szCs w:val="32"/>
        </w:rPr>
      </w:pPr>
    </w:p>
    <w:p>
      <w:pPr>
        <w:ind w:firstLine="420" w:firstLineChars="200"/>
        <w:rPr>
          <w:rFonts w:eastAsia="仿宋_GB2312"/>
          <w:szCs w:val="32"/>
        </w:rPr>
      </w:pPr>
    </w:p>
    <w:p>
      <w:pPr>
        <w:ind w:firstLine="420" w:firstLineChars="200"/>
        <w:rPr>
          <w:rFonts w:eastAsia="仿宋_GB2312"/>
          <w:szCs w:val="32"/>
        </w:rPr>
      </w:pPr>
    </w:p>
    <w:p>
      <w:pPr>
        <w:ind w:firstLine="420" w:firstLineChars="200"/>
        <w:rPr>
          <w:rFonts w:eastAsia="仿宋_GB2312"/>
          <w:szCs w:val="32"/>
        </w:rPr>
      </w:pPr>
    </w:p>
    <w:p>
      <w:pPr>
        <w:ind w:firstLine="420" w:firstLineChars="200"/>
        <w:rPr>
          <w:rFonts w:eastAsia="仿宋_GB2312"/>
          <w:szCs w:val="32"/>
        </w:rPr>
      </w:pPr>
    </w:p>
    <w:tbl>
      <w:tblPr>
        <w:tblStyle w:val="5"/>
        <w:tblW w:w="9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64"/>
        <w:gridCol w:w="247"/>
        <w:gridCol w:w="639"/>
        <w:gridCol w:w="778"/>
        <w:gridCol w:w="674"/>
        <w:gridCol w:w="80"/>
        <w:gridCol w:w="947"/>
        <w:gridCol w:w="1276"/>
        <w:gridCol w:w="992"/>
        <w:gridCol w:w="426"/>
        <w:gridCol w:w="819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93" w:type="dxa"/>
            <w:gridSpan w:val="13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一、基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单位负责人</w:t>
            </w:r>
          </w:p>
        </w:tc>
        <w:tc>
          <w:tcPr>
            <w:tcW w:w="2338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熊永辉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4534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bookmarkStart w:id="3" w:name="_GoBack"/>
            <w:bookmarkEnd w:id="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单位地址</w:t>
            </w:r>
          </w:p>
        </w:tc>
        <w:tc>
          <w:tcPr>
            <w:tcW w:w="2338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社棠东路35号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邮  编</w:t>
            </w:r>
          </w:p>
        </w:tc>
        <w:tc>
          <w:tcPr>
            <w:tcW w:w="4534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741024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预算起</w:t>
            </w:r>
          </w:p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止时间</w:t>
            </w:r>
          </w:p>
        </w:tc>
        <w:tc>
          <w:tcPr>
            <w:tcW w:w="7899" w:type="dxa"/>
            <w:gridSpan w:val="11"/>
            <w:vAlign w:val="center"/>
          </w:tcPr>
          <w:p>
            <w:pPr>
              <w:spacing w:line="380" w:lineRule="exact"/>
              <w:ind w:firstLine="1388" w:firstLineChars="496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202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仿宋_GB2312"/>
                <w:sz w:val="28"/>
                <w:szCs w:val="28"/>
              </w:rPr>
              <w:t>年1月起至202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仿宋_GB2312"/>
                <w:sz w:val="28"/>
                <w:szCs w:val="28"/>
              </w:rPr>
              <w:t>年12月止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预算安</w:t>
            </w:r>
          </w:p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排资金</w:t>
            </w:r>
          </w:p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（万元）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973.69</w:t>
            </w:r>
            <w:r>
              <w:rPr>
                <w:rFonts w:hint="eastAsia"/>
              </w:rPr>
              <w:t>2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实际到位资金</w:t>
            </w:r>
          </w:p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（万元）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3190.86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实际</w:t>
            </w:r>
          </w:p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支出</w:t>
            </w:r>
          </w:p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（万元）</w:t>
            </w:r>
          </w:p>
        </w:tc>
        <w:tc>
          <w:tcPr>
            <w:tcW w:w="992" w:type="dxa"/>
            <w:vAlign w:val="center"/>
          </w:tcPr>
          <w:p>
            <w:pPr>
              <w:spacing w:line="38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3051.83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结余</w:t>
            </w:r>
          </w:p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（万元）</w:t>
            </w:r>
          </w:p>
        </w:tc>
        <w:tc>
          <w:tcPr>
            <w:tcW w:w="1021" w:type="dxa"/>
            <w:vAlign w:val="center"/>
          </w:tcPr>
          <w:p>
            <w:pPr>
              <w:spacing w:line="38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139.02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其中：</w:t>
            </w:r>
          </w:p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中央财政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pacing w:val="-16"/>
                <w:sz w:val="28"/>
                <w:szCs w:val="28"/>
              </w:rPr>
            </w:pPr>
            <w:r>
              <w:rPr>
                <w:rFonts w:hint="eastAsia" w:eastAsia="仿宋_GB2312"/>
                <w:spacing w:val="-16"/>
                <w:sz w:val="28"/>
                <w:szCs w:val="28"/>
              </w:rPr>
              <w:t>其中：</w:t>
            </w:r>
          </w:p>
          <w:p>
            <w:pPr>
              <w:spacing w:line="380" w:lineRule="exact"/>
              <w:jc w:val="center"/>
              <w:rPr>
                <w:rFonts w:eastAsia="仿宋_GB2312"/>
                <w:spacing w:val="-16"/>
                <w:sz w:val="28"/>
                <w:szCs w:val="28"/>
              </w:rPr>
            </w:pPr>
            <w:r>
              <w:rPr>
                <w:rFonts w:hint="eastAsia" w:eastAsia="仿宋_GB2312"/>
                <w:spacing w:val="-16"/>
                <w:sz w:val="28"/>
                <w:szCs w:val="28"/>
              </w:rPr>
              <w:t>中央财政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pacing w:val="-22"/>
                <w:sz w:val="28"/>
                <w:szCs w:val="28"/>
              </w:rPr>
            </w:pPr>
            <w:r>
              <w:rPr>
                <w:rFonts w:hint="eastAsia" w:eastAsia="仿宋_GB2312"/>
                <w:spacing w:val="-22"/>
                <w:sz w:val="28"/>
                <w:szCs w:val="28"/>
              </w:rPr>
              <w:t>其中：</w:t>
            </w:r>
          </w:p>
          <w:p>
            <w:pPr>
              <w:spacing w:line="380" w:lineRule="exact"/>
              <w:jc w:val="center"/>
              <w:rPr>
                <w:rFonts w:eastAsia="仿宋_GB2312"/>
                <w:spacing w:val="-22"/>
                <w:sz w:val="28"/>
                <w:szCs w:val="28"/>
              </w:rPr>
            </w:pPr>
            <w:r>
              <w:rPr>
                <w:rFonts w:hint="eastAsia" w:eastAsia="仿宋_GB2312"/>
                <w:spacing w:val="-22"/>
                <w:sz w:val="28"/>
                <w:szCs w:val="28"/>
              </w:rPr>
              <w:t>中央财政</w:t>
            </w:r>
          </w:p>
        </w:tc>
        <w:tc>
          <w:tcPr>
            <w:tcW w:w="99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其中：</w:t>
            </w:r>
          </w:p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中央财政</w:t>
            </w:r>
          </w:p>
        </w:tc>
        <w:tc>
          <w:tcPr>
            <w:tcW w:w="1021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省财政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省财政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省财政</w:t>
            </w:r>
          </w:p>
        </w:tc>
        <w:tc>
          <w:tcPr>
            <w:tcW w:w="99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省财政</w:t>
            </w:r>
          </w:p>
        </w:tc>
        <w:tc>
          <w:tcPr>
            <w:tcW w:w="1021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市财政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市财政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市财政</w:t>
            </w:r>
          </w:p>
        </w:tc>
        <w:tc>
          <w:tcPr>
            <w:tcW w:w="99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市财政</w:t>
            </w:r>
          </w:p>
        </w:tc>
        <w:tc>
          <w:tcPr>
            <w:tcW w:w="1021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县市区  财政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县市区财政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县市区 财政</w:t>
            </w:r>
          </w:p>
        </w:tc>
        <w:tc>
          <w:tcPr>
            <w:tcW w:w="99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县市区 财政</w:t>
            </w:r>
          </w:p>
        </w:tc>
        <w:tc>
          <w:tcPr>
            <w:tcW w:w="1021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其它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其它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其它</w:t>
            </w:r>
          </w:p>
        </w:tc>
        <w:tc>
          <w:tcPr>
            <w:tcW w:w="992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其它</w:t>
            </w:r>
          </w:p>
        </w:tc>
        <w:tc>
          <w:tcPr>
            <w:tcW w:w="1021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39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二、部门单位支出明细情况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支出内容</w:t>
            </w:r>
          </w:p>
        </w:tc>
        <w:tc>
          <w:tcPr>
            <w:tcW w:w="241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实际支出数</w:t>
            </w:r>
          </w:p>
        </w:tc>
        <w:tc>
          <w:tcPr>
            <w:tcW w:w="22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会计凭证号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支出合计</w:t>
            </w:r>
          </w:p>
        </w:tc>
        <w:tc>
          <w:tcPr>
            <w:tcW w:w="241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939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三、社会影响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939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b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939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四、部门整体绩效自评情况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3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项目绩效定性目标及实施计划完成情况</w:t>
            </w:r>
          </w:p>
        </w:tc>
        <w:tc>
          <w:tcPr>
            <w:tcW w:w="5105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预  期 目 标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103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5105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确保政府各项工作正常运转，</w:t>
            </w:r>
            <w:r>
              <w:rPr>
                <w:rFonts w:hint="eastAsia" w:eastAsia="仿宋_GB2312"/>
                <w:sz w:val="24"/>
                <w:szCs w:val="24"/>
                <w:lang w:val="zh-CN"/>
              </w:rPr>
              <w:t>保居民就业、保基本民生、保市场主体、保粮食能源安全、保产业链供应链稳定、保基层运转。</w:t>
            </w:r>
            <w:r>
              <w:rPr>
                <w:rFonts w:hint="eastAsia" w:eastAsia="仿宋_GB2312"/>
                <w:sz w:val="24"/>
                <w:szCs w:val="24"/>
              </w:rPr>
              <w:t>惠农资金及时发放到位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03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绩效定量目标（指标）及完成情况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一级指标</w:t>
            </w:r>
          </w:p>
        </w:tc>
        <w:tc>
          <w:tcPr>
            <w:tcW w:w="153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二级指标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指标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内容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指标（目标）值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产出指标</w:t>
            </w:r>
          </w:p>
        </w:tc>
        <w:tc>
          <w:tcPr>
            <w:tcW w:w="1532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数量指标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完成计划目标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100%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质量指标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符合质量要求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合格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时效指标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按时完成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完成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成本指标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成本可控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完成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效益指标</w:t>
            </w:r>
          </w:p>
        </w:tc>
        <w:tc>
          <w:tcPr>
            <w:tcW w:w="1532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经济效益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无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社会效益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受益人口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30493</w:t>
            </w:r>
            <w:r>
              <w:rPr>
                <w:rFonts w:hint="eastAsia" w:eastAsia="仿宋_GB2312"/>
                <w:sz w:val="24"/>
                <w:szCs w:val="24"/>
              </w:rPr>
              <w:t>人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30493</w:t>
            </w:r>
            <w:r>
              <w:rPr>
                <w:rFonts w:hint="eastAsia" w:eastAsia="仿宋_GB2312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生态效益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改善群众生产生活条件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30493</w:t>
            </w:r>
            <w:r>
              <w:rPr>
                <w:rFonts w:hint="eastAsia" w:eastAsia="仿宋_GB2312"/>
                <w:sz w:val="24"/>
                <w:szCs w:val="24"/>
              </w:rPr>
              <w:t>人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30493</w:t>
            </w:r>
            <w:r>
              <w:rPr>
                <w:rFonts w:hint="eastAsia" w:eastAsia="仿宋_GB2312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可持续影响指标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是否达到可持续发展的各项指标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是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满意度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指标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群众满意度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100%</w:t>
            </w: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绩效自评综合得分</w:t>
            </w:r>
          </w:p>
        </w:tc>
        <w:tc>
          <w:tcPr>
            <w:tcW w:w="701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9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评价等次</w:t>
            </w:r>
          </w:p>
        </w:tc>
        <w:tc>
          <w:tcPr>
            <w:tcW w:w="701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9393" w:type="dxa"/>
            <w:gridSpan w:val="13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五、评价人员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1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职称/职务</w:t>
            </w:r>
          </w:p>
        </w:tc>
        <w:tc>
          <w:tcPr>
            <w:tcW w:w="4395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单  位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1" w:type="dxa"/>
            <w:gridSpan w:val="3"/>
            <w:vAlign w:val="center"/>
          </w:tcPr>
          <w:p>
            <w:pPr>
              <w:spacing w:line="380" w:lineRule="exact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熊永辉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镇长</w:t>
            </w:r>
          </w:p>
        </w:tc>
        <w:tc>
          <w:tcPr>
            <w:tcW w:w="4395" w:type="dxa"/>
            <w:gridSpan w:val="6"/>
            <w:vAlign w:val="center"/>
          </w:tcPr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社棠</w:t>
            </w:r>
            <w:r>
              <w:rPr>
                <w:rFonts w:hint="eastAsia" w:eastAsia="仿宋_GB2312"/>
                <w:sz w:val="24"/>
                <w:szCs w:val="24"/>
              </w:rPr>
              <w:t>镇人民政府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1" w:type="dxa"/>
            <w:gridSpan w:val="3"/>
            <w:vAlign w:val="center"/>
          </w:tcPr>
          <w:p>
            <w:pPr>
              <w:spacing w:line="380" w:lineRule="exact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郭想中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副镇长</w:t>
            </w:r>
          </w:p>
        </w:tc>
        <w:tc>
          <w:tcPr>
            <w:tcW w:w="4395" w:type="dxa"/>
            <w:gridSpan w:val="6"/>
            <w:vAlign w:val="center"/>
          </w:tcPr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社棠</w:t>
            </w:r>
            <w:r>
              <w:rPr>
                <w:rFonts w:hint="eastAsia" w:eastAsia="仿宋_GB2312"/>
                <w:sz w:val="24"/>
                <w:szCs w:val="24"/>
              </w:rPr>
              <w:t>镇人民政府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1" w:type="dxa"/>
            <w:gridSpan w:val="3"/>
            <w:vAlign w:val="center"/>
          </w:tcPr>
          <w:p>
            <w:pPr>
              <w:spacing w:line="380" w:lineRule="exact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张维刚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会计</w:t>
            </w:r>
          </w:p>
        </w:tc>
        <w:tc>
          <w:tcPr>
            <w:tcW w:w="4395" w:type="dxa"/>
            <w:gridSpan w:val="6"/>
            <w:vAlign w:val="center"/>
          </w:tcPr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社棠</w:t>
            </w:r>
            <w:r>
              <w:rPr>
                <w:rFonts w:hint="eastAsia" w:eastAsia="仿宋_GB2312"/>
                <w:sz w:val="24"/>
                <w:szCs w:val="24"/>
              </w:rPr>
              <w:t>镇人民政府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exact"/>
          <w:jc w:val="center"/>
        </w:trPr>
        <w:tc>
          <w:tcPr>
            <w:tcW w:w="9393" w:type="dxa"/>
            <w:gridSpan w:val="13"/>
            <w:vAlign w:val="center"/>
          </w:tcPr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评价组组长（签字）：     </w:t>
            </w:r>
          </w:p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</w:t>
            </w:r>
          </w:p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9393" w:type="dxa"/>
            <w:gridSpan w:val="13"/>
            <w:tcBorders>
              <w:bottom w:val="single" w:color="auto" w:sz="4" w:space="0"/>
            </w:tcBorders>
            <w:vAlign w:val="top"/>
          </w:tcPr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项目单位意见：</w:t>
            </w:r>
          </w:p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beforeLines="50" w:afterLines="50"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        负责人（签字）：</w:t>
            </w:r>
          </w:p>
          <w:p>
            <w:pPr>
              <w:spacing w:afterLines="50" w:line="380" w:lineRule="exact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9393" w:type="dxa"/>
            <w:gridSpan w:val="13"/>
            <w:vAlign w:val="top"/>
          </w:tcPr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主管部门意见：</w:t>
            </w:r>
          </w:p>
          <w:p>
            <w:pPr>
              <w:spacing w:beforeLines="50" w:afterLines="50"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        负责人（签字）：</w:t>
            </w:r>
          </w:p>
          <w:p>
            <w:pPr>
              <w:spacing w:afterLines="50" w:line="380" w:lineRule="exact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9393" w:type="dxa"/>
            <w:gridSpan w:val="13"/>
            <w:tcBorders>
              <w:bottom w:val="single" w:color="auto" w:sz="4" w:space="0"/>
            </w:tcBorders>
            <w:vAlign w:val="top"/>
          </w:tcPr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财政局主管股室意见：</w:t>
            </w:r>
          </w:p>
          <w:p>
            <w:pPr>
              <w:spacing w:beforeLines="50" w:afterLines="50"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        负责人（签字）：</w:t>
            </w:r>
          </w:p>
          <w:p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        年   月   日</w:t>
            </w:r>
          </w:p>
        </w:tc>
      </w:tr>
    </w:tbl>
    <w:p>
      <w:r>
        <w:rPr>
          <w:rFonts w:hint="eastAsia" w:eastAsia="仿宋_GB2312" w:cs="仿宋_GB2312"/>
          <w:bCs/>
          <w:sz w:val="24"/>
          <w:szCs w:val="24"/>
        </w:rPr>
        <w:t>填报人（签名）：                          联系电话：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D877AA"/>
    <w:multiLevelType w:val="singleLevel"/>
    <w:tmpl w:val="9ED877AA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>
    <w:nsid w:val="F670E045"/>
    <w:multiLevelType w:val="singleLevel"/>
    <w:tmpl w:val="F670E04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0E51A30"/>
    <w:multiLevelType w:val="singleLevel"/>
    <w:tmpl w:val="60E51A30"/>
    <w:lvl w:ilvl="0" w:tentative="0">
      <w:start w:val="3"/>
      <w:numFmt w:val="chineseCounting"/>
      <w:suff w:val="nothing"/>
      <w:lvlText w:val="%1、"/>
      <w:lvlJc w:val="left"/>
    </w:lvl>
  </w:abstractNum>
  <w:abstractNum w:abstractNumId="3">
    <w:nsid w:val="7F19A65C"/>
    <w:multiLevelType w:val="singleLevel"/>
    <w:tmpl w:val="7F19A65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2Y2E0MDU4ZDNjMzViNGEyYmU0MTE4OTJhZjQ4ZjMifQ=="/>
  </w:docVars>
  <w:rsids>
    <w:rsidRoot w:val="0020225D"/>
    <w:rsid w:val="001B22D3"/>
    <w:rsid w:val="0020225D"/>
    <w:rsid w:val="007B18AE"/>
    <w:rsid w:val="06A1593C"/>
    <w:rsid w:val="081848EE"/>
    <w:rsid w:val="0A0C3A10"/>
    <w:rsid w:val="0C39791C"/>
    <w:rsid w:val="0CE62B3B"/>
    <w:rsid w:val="0DAA76E7"/>
    <w:rsid w:val="0E3304F8"/>
    <w:rsid w:val="11955C69"/>
    <w:rsid w:val="147678D8"/>
    <w:rsid w:val="165B62CC"/>
    <w:rsid w:val="18DD0093"/>
    <w:rsid w:val="1C625835"/>
    <w:rsid w:val="1FB8417F"/>
    <w:rsid w:val="20BB63E0"/>
    <w:rsid w:val="257F7FEA"/>
    <w:rsid w:val="25F407BC"/>
    <w:rsid w:val="28E42292"/>
    <w:rsid w:val="28E96C1C"/>
    <w:rsid w:val="2BB14B9C"/>
    <w:rsid w:val="2FD152EB"/>
    <w:rsid w:val="35032AB7"/>
    <w:rsid w:val="3A603D71"/>
    <w:rsid w:val="3B6A0DD4"/>
    <w:rsid w:val="3DA23079"/>
    <w:rsid w:val="3DE00A63"/>
    <w:rsid w:val="3DE40DF5"/>
    <w:rsid w:val="3FB361CE"/>
    <w:rsid w:val="4109492F"/>
    <w:rsid w:val="53EF3E83"/>
    <w:rsid w:val="55066FC9"/>
    <w:rsid w:val="56360E24"/>
    <w:rsid w:val="61A32701"/>
    <w:rsid w:val="676A525A"/>
    <w:rsid w:val="68041FDD"/>
    <w:rsid w:val="6A4409B9"/>
    <w:rsid w:val="72BE3398"/>
    <w:rsid w:val="73C96EDF"/>
    <w:rsid w:val="74282B4F"/>
    <w:rsid w:val="7D4239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7">
    <w:name w:val="font12"/>
    <w:basedOn w:val="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1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3434</Words>
  <Characters>3661</Characters>
  <Lines>9</Lines>
  <Paragraphs>9</Paragraphs>
  <TotalTime>15</TotalTime>
  <ScaleCrop>false</ScaleCrop>
  <LinksUpToDate>false</LinksUpToDate>
  <CharactersWithSpaces>4109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2021-02-22T00:44:00Z</dcterms:created>
  <dc:creator>DELL</dc:creator>
  <cp:lastModifiedBy>孟凡云</cp:lastModifiedBy>
  <dcterms:modified xsi:type="dcterms:W3CDTF">2023-11-16T07:10:31Z</dcterms:modified>
  <dc:title>东岔镇人民政府整体支出绩效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CBBDF1B0ABD440DD800FAFDFD89F99E3_13</vt:lpwstr>
  </property>
</Properties>
</file>