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ascii="黑体" w:hAnsi="宋体" w:eastAsia="黑体" w:cs="黑体"/>
          <w:i w:val="0"/>
          <w:caps w:val="0"/>
          <w:color w:val="333333"/>
          <w:spacing w:val="0"/>
          <w:kern w:val="0"/>
          <w:sz w:val="32"/>
          <w:szCs w:val="32"/>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1292" w:firstLineChars="404"/>
        <w:jc w:val="both"/>
        <w:rPr>
          <w:rFonts w:ascii="黑体" w:hAnsi="宋体" w:eastAsia="黑体" w:cs="黑体"/>
          <w:i w:val="0"/>
          <w:caps w:val="0"/>
          <w:color w:val="333333"/>
          <w:spacing w:val="0"/>
          <w:kern w:val="0"/>
          <w:sz w:val="32"/>
          <w:szCs w:val="32"/>
          <w:shd w:val="clear" w:fill="FFFFFF"/>
          <w:lang w:val="en-US" w:eastAsia="zh-CN" w:bidi="ar"/>
        </w:rPr>
      </w:pPr>
      <w:r>
        <w:rPr>
          <w:rFonts w:hint="eastAsia" w:ascii="黑体" w:hAnsi="宋体" w:eastAsia="黑体" w:cs="黑体"/>
          <w:i w:val="0"/>
          <w:caps w:val="0"/>
          <w:color w:val="333333"/>
          <w:spacing w:val="0"/>
          <w:kern w:val="0"/>
          <w:sz w:val="32"/>
          <w:szCs w:val="32"/>
          <w:shd w:val="clear" w:fill="FFFFFF"/>
          <w:lang w:val="en-US" w:eastAsia="zh-CN" w:bidi="ar"/>
        </w:rPr>
        <w:t>2022年麦积区市场监管局项目支出绩效评价报告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8"/>
          <w:szCs w:val="28"/>
        </w:rPr>
      </w:pPr>
      <w:r>
        <w:rPr>
          <w:rFonts w:ascii="黑体" w:hAnsi="宋体" w:eastAsia="黑体" w:cs="黑体"/>
          <w:i w:val="0"/>
          <w:caps w:val="0"/>
          <w:color w:val="333333"/>
          <w:spacing w:val="0"/>
          <w:kern w:val="0"/>
          <w:sz w:val="28"/>
          <w:szCs w:val="28"/>
          <w:shd w:val="clear" w:fill="FFFFFF"/>
          <w:lang w:val="en-US" w:eastAsia="zh-CN" w:bidi="ar"/>
        </w:rPr>
        <w:t>一、基本情况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ascii="楷体" w:hAnsi="楷体" w:eastAsia="楷体" w:cs="楷体"/>
          <w:i w:val="0"/>
          <w:caps w:val="0"/>
          <w:color w:val="333333"/>
          <w:spacing w:val="0"/>
          <w:kern w:val="0"/>
          <w:sz w:val="32"/>
          <w:szCs w:val="32"/>
          <w:shd w:val="clear" w:fill="FFFFFF"/>
          <w:lang w:val="en-US" w:eastAsia="zh-CN" w:bidi="ar"/>
        </w:rPr>
        <w:t>（一）项目概况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2022年共有有项目7个</w:t>
      </w:r>
      <w:r>
        <w:rPr>
          <w:rFonts w:ascii="仿宋" w:hAnsi="仿宋" w:eastAsia="仿宋" w:cs="仿宋"/>
          <w:i w:val="0"/>
          <w:caps w:val="0"/>
          <w:color w:val="333333"/>
          <w:spacing w:val="0"/>
          <w:kern w:val="0"/>
          <w:sz w:val="32"/>
          <w:szCs w:val="32"/>
          <w:shd w:val="clear" w:fill="FFFFFF"/>
          <w:lang w:val="en-US" w:eastAsia="zh-CN" w:bidi="ar"/>
        </w:rPr>
        <w:t>。截止目前，</w:t>
      </w:r>
      <w:r>
        <w:rPr>
          <w:rFonts w:hint="eastAsia" w:ascii="仿宋" w:hAnsi="仿宋" w:eastAsia="仿宋" w:cs="仿宋"/>
          <w:i w:val="0"/>
          <w:caps w:val="0"/>
          <w:color w:val="333333"/>
          <w:spacing w:val="0"/>
          <w:kern w:val="0"/>
          <w:sz w:val="32"/>
          <w:szCs w:val="32"/>
          <w:shd w:val="clear" w:fill="FFFFFF"/>
          <w:lang w:val="en-US" w:eastAsia="zh-CN" w:bidi="ar"/>
        </w:rPr>
        <w:t>其中办公用房租赁费114000元，食品快速检测试剂购置费用196000元，食品药品远程监控转网费、执法终端流量使用费310000元</w:t>
      </w:r>
      <w:bookmarkStart w:id="0" w:name="_GoBack"/>
      <w:bookmarkEnd w:id="0"/>
      <w:r>
        <w:rPr>
          <w:rFonts w:hint="eastAsia" w:ascii="仿宋" w:hAnsi="仿宋" w:eastAsia="仿宋" w:cs="仿宋"/>
          <w:i w:val="0"/>
          <w:caps w:val="0"/>
          <w:color w:val="333333"/>
          <w:spacing w:val="0"/>
          <w:kern w:val="0"/>
          <w:sz w:val="32"/>
          <w:szCs w:val="32"/>
          <w:shd w:val="clear" w:fill="FFFFFF"/>
          <w:lang w:val="en-US" w:eastAsia="zh-CN" w:bidi="ar"/>
        </w:rPr>
        <w:t>，食品安全抽样检验费836545元，煤炭抽样检验费105000元，镇（街道）市场监管所工作经费1000000元，天水市麦积区质量振兴专项资金500000元。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right="0" w:firstLine="640" w:firstLineChars="20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楷体" w:hAnsi="楷体" w:eastAsia="楷体" w:cs="楷体"/>
          <w:i w:val="0"/>
          <w:caps w:val="0"/>
          <w:color w:val="333333"/>
          <w:spacing w:val="0"/>
          <w:kern w:val="0"/>
          <w:sz w:val="32"/>
          <w:szCs w:val="32"/>
          <w:shd w:val="clear" w:fill="FFFFFF"/>
          <w:lang w:val="en-US" w:eastAsia="zh-CN" w:bidi="ar"/>
        </w:rPr>
        <w:t>   </w:t>
      </w:r>
      <w:r>
        <w:rPr>
          <w:rFonts w:hint="eastAsia" w:ascii="仿宋" w:hAnsi="仿宋" w:eastAsia="仿宋" w:cs="仿宋"/>
          <w:sz w:val="32"/>
          <w:szCs w:val="32"/>
          <w:lang w:eastAsia="zh-CN"/>
        </w:rPr>
        <w:t>负责监督管理市场秩序。依法监督管理市场交易、网络商品交易及有关服务的行为。组织实施公平竞争审查制度。组织指导查处价格收费违法违规、不正当竞争、违法直销、传销、侵犯商标专利知识产权和制售假冒伪劣行为。依法实施合同、拍卖行为的监督管理，管理动产抵押物登记，负责依法查处合同欺诈等违法行为。依法查处无照生产经营和相关无证生产经营行为。指导广告业的发展，监督管理广告活动，依法查处虚假违法广告行为。指导区消费者协会开展消费维权工作，加强消费环境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负责食品安全监督管理综合协调。贯彻食品安全重大政策并组织实施。负责食品安全应急体系建设，依法开展食品安全事件应急处置和调查处理工作。建立健全并落实食品安全重要信息直报制度。承担区食品安全委员会日常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负责食品安全监督管理。建立覆盖食品生产、流通、消费全过程的监督检查制度和隐患排查治理机制并组织实施，防范区域性、系统性食品安全风险。推动建立食品生产经营者落实主体责任的机制，健全食品安全追溯体系。负责和指导食品生产、经营许可工作，组织开展食品安全监督抽检、风险监测、核查处置和风险预警、风险交流工作。负责和指导特殊食品与食盐质量安全监督管理以及食盐专营行政管理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负责统一管理检验检测工作。推进检验检测机构改革，规范检验检测市场，完善检验检测体系，指导协调检验检测行业发展。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负责统一管理、监督和综合协调认证认可工作。组织实施认证认可和合格评定监督管理制度。依法监督和规范认证市场。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负责市场监督管理科技和信息化建设、新闻宣传。按规定承担技术性贸易措施有关工作。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负责统一管理知识产权工作。组织实施全区知识产权战略，负责知识产权保护、创造和运用，做好知识产权确权、侵权判定、申请相关工作，规范指导知识产权类无形资产评估工作。承担知识产权违法行为的查处、争议处理、维权援助、纠纷调处等执法工作，监督管理商标印制企业。建立知识产权公共服务体系，统筹协调涉外知识产权事宜。负责原产地地理标志管理和保护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二、绩效评价工作开展情况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（一）绩效评价的目标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2022年完成所有绩效目标。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（二）绩效评价方法、标准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b w:val="0"/>
          <w:i w:val="0"/>
          <w:caps w:val="0"/>
          <w:color w:val="333333"/>
          <w:spacing w:val="0"/>
          <w:kern w:val="0"/>
          <w:sz w:val="32"/>
          <w:szCs w:val="32"/>
          <w:shd w:val="clear" w:fill="FFFFFF"/>
          <w:lang w:val="en-US" w:eastAsia="zh-CN" w:bidi="ar"/>
        </w:rPr>
        <w:t>本着客观公正和有效性原则，按照设定的指标体系，单位二级机构负责人参加评价，结合单位自评、实地检查和综合评价等三个方面进行评价，并由项目负责人进行梳理、整改。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（三）绩效评价工作过程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一是做好前期准备。按照项目支出绩效评价工作需要，组成以谢新红同志为组长的绩效评价工作小组，对相关的国家法律法规进行了认真学习，掌握政策。二是抓好组织实施：核查项目设立、批复、支出全过程，重点检查项目资金执行情况。根据年初制定的项目支出绩效考核目标进行了绩效考评。三是细化分析评价：对评价过程中收集资料进行归纳，汇总分析，依据设定的项目支出绩效评价指标体系进行了评分，形成了综合性书面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三、综合评价情况及评价结论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仿宋" w:hAnsi="仿宋" w:eastAsia="仿宋" w:cs="仿宋"/>
          <w:b w:val="0"/>
          <w:i w:val="0"/>
          <w:caps w:val="0"/>
          <w:color w:val="333333"/>
          <w:spacing w:val="0"/>
          <w:kern w:val="0"/>
          <w:sz w:val="32"/>
          <w:szCs w:val="32"/>
          <w:shd w:val="clear" w:fill="FFFFFF"/>
          <w:lang w:val="en-US" w:eastAsia="zh-CN" w:bidi="ar"/>
        </w:rPr>
      </w:pPr>
      <w:r>
        <w:rPr>
          <w:rFonts w:hint="eastAsia" w:ascii="仿宋" w:hAnsi="仿宋" w:eastAsia="仿宋" w:cs="仿宋"/>
          <w:b w:val="0"/>
          <w:i w:val="0"/>
          <w:caps w:val="0"/>
          <w:color w:val="333333"/>
          <w:spacing w:val="0"/>
          <w:kern w:val="0"/>
          <w:sz w:val="32"/>
          <w:szCs w:val="32"/>
          <w:shd w:val="clear" w:fill="FFFFFF"/>
          <w:lang w:val="en-US" w:eastAsia="zh-CN" w:bidi="ar"/>
        </w:rPr>
        <w:t>本项目支出绩效评价，通过现场检查项目资料和财务资料，经综合分析，我们认为，2022年度区市场监管局项目支出绩效最终得分为96.5分。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四、绩效评价指标分析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（一）项目决策情况（分值18分，评价得分18分）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1.项目立项（分值6分，评价得分6分）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（1）立项依据充分性分值3分，评价分值3分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立项符合国家法律法规、国民经济发展规划和相关政策；符合行业发展规划和政策要求；与部门职责范围相符，属于部门履职所需；属于公共财政支持范围，符合省与市县财政事权与支出责任相适应原则；与相关部门同类项目或部门内部相关项目不重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（2）立项程序规范性分值3分，评价分值3分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项目按照规定的程序申请设立；审批文件、材料符合相关要求；事前已经过必要的可行性研究、风险评估、绩效评估、集体决策。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2.绩效目标（分值6分，评价得分6分）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（1）绩效目标合理性分值3分，评价分值3分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项目有绩效目标；绩效目标与实际工作内容具有相关性；项目预期产出效益和效果符合正常的业绩水平；与预算确定的项目投资额或资金量相匹配。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（2）绩效指标明确性分值3分，评价分值3分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已将项目绩效目标细化分解为具体的绩效指标并通过清晰、可衡量的指标值予以体现；与项目目标任务数或计划数相对应。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b/>
          <w:i w:val="0"/>
          <w:caps w:val="0"/>
          <w:color w:val="333333"/>
          <w:spacing w:val="0"/>
          <w:kern w:val="0"/>
          <w:sz w:val="28"/>
          <w:szCs w:val="28"/>
          <w:shd w:val="clear" w:fill="FFFFFF"/>
          <w:lang w:val="en-US" w:eastAsia="zh-CN" w:bidi="ar"/>
        </w:rPr>
        <w:t>3.资金投入（分值6分，评价得分6分</w:t>
      </w:r>
      <w:r>
        <w:rPr>
          <w:rFonts w:hint="eastAsia" w:ascii="仿宋" w:hAnsi="仿宋" w:eastAsia="仿宋" w:cs="仿宋"/>
          <w:b/>
          <w:i w:val="0"/>
          <w:caps w:val="0"/>
          <w:color w:val="333333"/>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（1）预算编制科学性分值3分，评价分值3分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640" w:right="0" w:firstLine="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预算编制经过科学论证；预算内容与项目内容匹配；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预算额度测算依据充分且按照标准编制；预算确定的项目投资额或资金量与工作任务相匹配。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（2）资金分配合理性分值3分，评价分值3分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预算资金分配依据充分；分配额度合理，与项目单位或地方实际相适应。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（二）项目过程情况（分值22分，评价得分22分）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1.资金管理（分值16分，评价得分16分）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b w:val="0"/>
          <w:i w:val="0"/>
          <w:caps w:val="0"/>
          <w:color w:val="333333"/>
          <w:spacing w:val="0"/>
          <w:kern w:val="0"/>
          <w:sz w:val="32"/>
          <w:szCs w:val="32"/>
          <w:shd w:val="clear" w:fill="FFFFFF"/>
          <w:lang w:val="en-US" w:eastAsia="zh-CN" w:bidi="ar"/>
        </w:rPr>
        <w:t>（1）</w:t>
      </w:r>
      <w:r>
        <w:rPr>
          <w:rFonts w:hint="eastAsia" w:ascii="仿宋" w:hAnsi="仿宋" w:eastAsia="仿宋" w:cs="仿宋"/>
          <w:i w:val="0"/>
          <w:caps w:val="0"/>
          <w:color w:val="333333"/>
          <w:spacing w:val="0"/>
          <w:kern w:val="0"/>
          <w:sz w:val="32"/>
          <w:szCs w:val="32"/>
          <w:shd w:val="clear" w:fill="FFFFFF"/>
          <w:lang w:val="en-US" w:eastAsia="zh-CN" w:bidi="ar"/>
        </w:rPr>
        <w:t>资金到位率分值4分，评价分值4分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（2）资金拨付及时性分值4分，评价分值4分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项目资金按照《预算法》等法律法规规定的期限内分配下达，符合项目资金管理办法、工作实施方案等明确的时限要求及时拨付。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（3）预算执行率分值4分，评价分值4分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640" w:right="0" w:firstLine="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本年度内项目支出具体资金164.4570万元。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62" w:afterAutospacing="0" w:line="600" w:lineRule="atLeast"/>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（4）资金使用合规性分值4分，评价分值4分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资金使用符合国家财经法规和财务管理制度以及有关专项资金管理办法的规定；资金的拨付有完整的审批程序和手续；资金使用符合项目预算批复或合同规定的用途；不存在截留、挤占、挪用、虚列支出等情况。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2.组织实施（分值6分，评价得分6分）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b w:val="0"/>
          <w:i w:val="0"/>
          <w:caps w:val="0"/>
          <w:color w:val="333333"/>
          <w:spacing w:val="0"/>
          <w:kern w:val="0"/>
          <w:sz w:val="32"/>
          <w:szCs w:val="32"/>
          <w:shd w:val="clear" w:fill="FFFFFF"/>
          <w:lang w:val="en-US" w:eastAsia="zh-CN" w:bidi="ar"/>
        </w:rPr>
        <w:t>（1）</w:t>
      </w:r>
      <w:r>
        <w:rPr>
          <w:rFonts w:hint="eastAsia" w:ascii="仿宋" w:hAnsi="仿宋" w:eastAsia="仿宋" w:cs="仿宋"/>
          <w:i w:val="0"/>
          <w:caps w:val="0"/>
          <w:color w:val="333333"/>
          <w:spacing w:val="0"/>
          <w:kern w:val="0"/>
          <w:sz w:val="32"/>
          <w:szCs w:val="32"/>
          <w:shd w:val="clear" w:fill="FFFFFF"/>
          <w:lang w:val="en-US" w:eastAsia="zh-CN" w:bidi="ar"/>
        </w:rPr>
        <w:t>管理制度健全性分值3分，评价分值3分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已制定或具有相应的财务和业务管理制度；财务和业务管理制度合法、合规、完整。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b w:val="0"/>
          <w:i w:val="0"/>
          <w:caps w:val="0"/>
          <w:color w:val="333333"/>
          <w:spacing w:val="0"/>
          <w:kern w:val="0"/>
          <w:sz w:val="32"/>
          <w:szCs w:val="32"/>
          <w:shd w:val="clear" w:fill="FFFFFF"/>
          <w:lang w:val="en-US" w:eastAsia="zh-CN" w:bidi="ar"/>
        </w:rPr>
        <w:t>（2）</w:t>
      </w:r>
      <w:r>
        <w:rPr>
          <w:rFonts w:hint="eastAsia" w:ascii="仿宋" w:hAnsi="仿宋" w:eastAsia="仿宋" w:cs="仿宋"/>
          <w:i w:val="0"/>
          <w:caps w:val="0"/>
          <w:color w:val="333333"/>
          <w:spacing w:val="0"/>
          <w:kern w:val="0"/>
          <w:sz w:val="32"/>
          <w:szCs w:val="32"/>
          <w:shd w:val="clear" w:fill="FFFFFF"/>
          <w:lang w:val="en-US" w:eastAsia="zh-CN" w:bidi="ar"/>
        </w:rPr>
        <w:t>制度执行有效性分值3分，评价分值3分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遵守相关法律法规和相关管理规定；项目调整及支出调整手续完备；项目合同书、验收报告、技术鉴定等资料齐全并及时归档；项目实施的人员条件、场地设备、信息支撑等落实到位。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楷体" w:hAnsi="楷体" w:eastAsia="楷体" w:cs="楷体"/>
          <w:i w:val="0"/>
          <w:caps w:val="0"/>
          <w:color w:val="333333"/>
          <w:spacing w:val="0"/>
          <w:kern w:val="0"/>
          <w:sz w:val="32"/>
          <w:szCs w:val="32"/>
          <w:shd w:val="clear" w:fill="FFFFFF"/>
          <w:lang w:val="en-US" w:eastAsia="zh-CN" w:bidi="ar"/>
        </w:rPr>
        <w:t>（三）项目产出情况（分值48分，评价得分48分）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1.产出数量（分值12分，评价得分12分）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实际完成率分值12分，评价分值12分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项目在规定时间节点内全面完成。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2.产出质量（分值12分，评价得分12分）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质量达标率分值12分，评价分值12分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快检室全年正常运转。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3.产出时效（分值12分，评价得分12分）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完成及时性分值12分，评价分值12分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项目在规定时间节点内完成。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3"/>
        <w:jc w:val="both"/>
        <w:rPr>
          <w:rFonts w:hint="eastAsia" w:ascii="微软雅黑" w:hAnsi="微软雅黑" w:eastAsia="微软雅黑" w:cs="微软雅黑"/>
          <w:i w:val="0"/>
          <w:caps w:val="0"/>
          <w:color w:val="333333"/>
          <w:spacing w:val="0"/>
          <w:sz w:val="28"/>
          <w:szCs w:val="28"/>
        </w:rPr>
      </w:pPr>
      <w:r>
        <w:rPr>
          <w:rFonts w:hint="eastAsia" w:ascii="仿宋" w:hAnsi="仿宋" w:eastAsia="仿宋" w:cs="仿宋"/>
          <w:b/>
          <w:i w:val="0"/>
          <w:caps w:val="0"/>
          <w:color w:val="333333"/>
          <w:spacing w:val="0"/>
          <w:kern w:val="0"/>
          <w:sz w:val="28"/>
          <w:szCs w:val="28"/>
          <w:shd w:val="clear" w:fill="FFFFFF"/>
          <w:lang w:val="en-US" w:eastAsia="zh-CN" w:bidi="ar"/>
        </w:rPr>
        <w:t>4.产出成本（分值12分，评价得分12分）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成本节约率分值12分，评价分值12分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560" w:firstLineChars="200"/>
        <w:jc w:val="both"/>
        <w:rPr>
          <w:rFonts w:hint="eastAsia" w:ascii="微软雅黑" w:hAnsi="微软雅黑" w:eastAsia="微软雅黑" w:cs="微软雅黑"/>
          <w:i w:val="0"/>
          <w:caps w:val="0"/>
          <w:color w:val="333333"/>
          <w:spacing w:val="0"/>
          <w:sz w:val="28"/>
          <w:szCs w:val="28"/>
        </w:rPr>
      </w:pPr>
      <w:r>
        <w:rPr>
          <w:rFonts w:hint="eastAsia" w:ascii="楷体" w:hAnsi="楷体" w:eastAsia="楷体" w:cs="楷体"/>
          <w:i w:val="0"/>
          <w:caps w:val="0"/>
          <w:color w:val="333333"/>
          <w:spacing w:val="0"/>
          <w:kern w:val="0"/>
          <w:sz w:val="28"/>
          <w:szCs w:val="28"/>
          <w:shd w:val="clear" w:fill="FFFFFF"/>
          <w:lang w:val="en-US" w:eastAsia="zh-CN" w:bidi="ar"/>
        </w:rPr>
        <w:t>（四）项目效益情况（分值12分，评价得分8.5分）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1.实施效益分值6分，评价分值4.5分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2.满意度分值6分，评价分值4分。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项目实施群众满意度约为85%。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黑体" w:hAnsi="宋体" w:eastAsia="黑体" w:cs="黑体"/>
          <w:i w:val="0"/>
          <w:caps w:val="0"/>
          <w:color w:val="333333"/>
          <w:spacing w:val="0"/>
          <w:kern w:val="0"/>
          <w:sz w:val="28"/>
          <w:szCs w:val="28"/>
          <w:shd w:val="clear" w:fill="FFFFFF"/>
          <w:lang w:val="en-US" w:eastAsia="zh-CN" w:bidi="ar"/>
        </w:rPr>
        <w:t>五、主要经验及做法、存在的问题及原因分析</w:t>
      </w:r>
      <w:r>
        <w:rPr>
          <w:rFonts w:hint="eastAsia" w:ascii="仿宋" w:hAnsi="仿宋" w:eastAsia="仿宋" w:cs="仿宋"/>
          <w:i w:val="0"/>
          <w:caps w:val="0"/>
          <w:color w:val="333333"/>
          <w:spacing w:val="0"/>
          <w:kern w:val="0"/>
          <w:sz w:val="32"/>
          <w:szCs w:val="32"/>
          <w:shd w:val="clear" w:fill="FFFFFF"/>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主要做法：一是加强工作质量考核。考核抽样的覆盖率和抽检计划完成率；检验部考核检验数据正确率和检验报告的及时率；实行工作质量和工作效率考核机制。二是不断提升检测工作能力。定期要求第三方公司对快检室检测人员开展业务技能培训。三是突出检验结果运用。食品抽样检验的目的是为各级食品安全监管部门提供科学信息，更好保障人民群众安全消费，精准快捷的检验结果，才能更好地为监管工作服务，为此严格保证检验结果的高效快捷，信息报送及时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存在问题：我区食品安全形势不断好转，但当前食品安全的长期性、复杂性、艰巨性没有变，基层基础薄弱的现状没有变，影响和制约食品安全的深层次矛盾仍然较多。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原因分析：基层执法队伍力量薄弱；执法人员专业知识有所欠缺；食品行业从业人员食品安全意识淡薄。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六、有关建议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一是规范绩效目标编制。年初预算时，预算单位应按照绩效管理有关要求编制全部预算项目的绩效目标，围绕绩效目标加强管理，提高财政资金使用效益。建议区财政逐年增加单位年初预算金额，减少年中追加预算，使预算调整变动率保持在正常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二是适当增加财政投入，加强财务核算。食品安全监管范围广、任务重、压力大，建议政府逐年增加财政投入，并纳入单位预算，如食品安全专项整治经费、食品安全有奖举报奖励资金、执法设备购置费、执法服装购置费等。同时，加强单位专项资金管控，加强内部审计，准确反映项目支出情况，防止挤占、截留、挪用项目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三是完善绩效管理相关制度，进一步细化工作任务，完善项目资金分配、使用及管理制度，按照职责分工和工作任务合理分配资金。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640"/>
        <w:jc w:val="both"/>
        <w:rPr>
          <w:rFonts w:hint="eastAsia" w:ascii="微软雅黑" w:hAnsi="微软雅黑" w:eastAsia="微软雅黑" w:cs="微软雅黑"/>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七、其他需说明的问题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320"/>
        <w:jc w:val="both"/>
        <w:rPr>
          <w:rFonts w:hint="eastAsia" w:ascii="微软雅黑" w:hAnsi="微软雅黑" w:eastAsia="微软雅黑" w:cs="微软雅黑"/>
          <w:i w:val="0"/>
          <w:caps w:val="0"/>
          <w:color w:val="333333"/>
          <w:spacing w:val="0"/>
          <w:sz w:val="24"/>
          <w:szCs w:val="24"/>
        </w:rPr>
      </w:pPr>
      <w:r>
        <w:rPr>
          <w:rFonts w:hint="eastAsia" w:ascii="仿宋" w:hAnsi="仿宋" w:eastAsia="仿宋" w:cs="仿宋"/>
          <w:i w:val="0"/>
          <w:caps w:val="0"/>
          <w:color w:val="333333"/>
          <w:spacing w:val="0"/>
          <w:kern w:val="0"/>
          <w:sz w:val="32"/>
          <w:szCs w:val="32"/>
          <w:shd w:val="clear" w:fill="FFFFFF"/>
          <w:lang w:val="en-US" w:eastAsia="zh-CN" w:bidi="ar"/>
        </w:rPr>
        <w:t>无</w:t>
      </w:r>
    </w:p>
    <w:p>
      <w:pPr>
        <w:pStyle w:val="2"/>
        <w:rPr>
          <w:rFonts w:hint="eastAsia"/>
        </w:rPr>
      </w:pPr>
    </w:p>
    <w:p>
      <w:pPr>
        <w:pStyle w:val="2"/>
        <w:rPr>
          <w:rFonts w:hint="eastAsia"/>
        </w:rPr>
      </w:pPr>
    </w:p>
    <w:p>
      <w:pPr>
        <w:pStyle w:val="2"/>
        <w:rPr>
          <w:rFonts w:hint="eastAsia"/>
          <w:lang w:eastAsia="zh-CN"/>
        </w:rPr>
      </w:pPr>
    </w:p>
    <w:p>
      <w:pPr>
        <w:pStyle w:val="2"/>
        <w:rPr>
          <w:rFonts w:hint="eastAsia"/>
          <w:lang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firstLine="0"/>
        <w:jc w:val="both"/>
        <w:rPr>
          <w:rFonts w:hint="eastAsia" w:ascii="微软雅黑" w:hAnsi="微软雅黑" w:eastAsia="微软雅黑" w:cs="微软雅黑"/>
          <w:i w:val="0"/>
          <w:caps w:val="0"/>
          <w:color w:val="333333"/>
          <w:spacing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B374C"/>
    <w:rsid w:val="1671316D"/>
    <w:rsid w:val="2C2116EC"/>
    <w:rsid w:val="2F1718A9"/>
    <w:rsid w:val="42267E09"/>
    <w:rsid w:val="52E22052"/>
    <w:rsid w:val="56BB5162"/>
    <w:rsid w:val="788C2C6A"/>
    <w:rsid w:val="7C647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Body Text Indent 21"/>
    <w:basedOn w:val="1"/>
    <w:qFormat/>
    <w:uiPriority w:val="0"/>
    <w:pPr>
      <w:spacing w:line="480" w:lineRule="auto"/>
      <w:ind w:left="420" w:leftChars="200"/>
    </w:pPr>
    <w:rPr>
      <w:rFonts w:ascii="Calibri" w:hAnsi="Calibri" w:eastAsia="宋体" w:cs="Times New Roma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2023-08-28T07:12:33Z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