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2C74B">
      <w:pPr>
        <w:spacing w:line="700" w:lineRule="exact"/>
        <w:jc w:val="center"/>
        <w:rPr>
          <w:rFonts w:hint="eastAsia" w:ascii="Times New Roman" w:hAnsi="Times New Roman" w:eastAsia="方正小标宋简体"/>
          <w:bCs/>
          <w:sz w:val="44"/>
          <w:szCs w:val="44"/>
        </w:rPr>
      </w:pPr>
      <w:bookmarkStart w:id="0" w:name="_GoBack"/>
      <w:bookmarkEnd w:id="0"/>
    </w:p>
    <w:p w14:paraId="7C5C0F69">
      <w:pPr>
        <w:spacing w:line="700" w:lineRule="exact"/>
        <w:jc w:val="center"/>
        <w:rPr>
          <w:rFonts w:hint="eastAsia" w:ascii="Times New Roman" w:hAnsi="Times New Roman" w:eastAsia="方正小标宋简体"/>
          <w:bCs/>
          <w:sz w:val="44"/>
          <w:szCs w:val="44"/>
        </w:rPr>
      </w:pPr>
      <w:r>
        <w:rPr>
          <w:rFonts w:hint="eastAsia" w:ascii="Times New Roman" w:hAnsi="Times New Roman" w:eastAsia="方正小标宋简体"/>
          <w:bCs/>
          <w:sz w:val="44"/>
          <w:szCs w:val="44"/>
        </w:rPr>
        <w:t>食品快速检测试剂购置费项目支出绩效</w:t>
      </w:r>
    </w:p>
    <w:p w14:paraId="7319FC50">
      <w:pPr>
        <w:spacing w:line="700" w:lineRule="exact"/>
        <w:jc w:val="center"/>
        <w:rPr>
          <w:rFonts w:hint="eastAsia" w:ascii="Times New Roman" w:hAnsi="Times New Roman" w:eastAsia="方正小标宋简体"/>
          <w:bCs/>
          <w:sz w:val="44"/>
          <w:szCs w:val="44"/>
        </w:rPr>
      </w:pPr>
      <w:r>
        <w:rPr>
          <w:rFonts w:hint="eastAsia" w:ascii="Times New Roman" w:hAnsi="Times New Roman" w:eastAsia="方正小标宋简体"/>
          <w:bCs/>
          <w:sz w:val="44"/>
          <w:szCs w:val="44"/>
        </w:rPr>
        <w:t>自评报告</w:t>
      </w:r>
    </w:p>
    <w:p w14:paraId="17A753C4">
      <w:pPr>
        <w:spacing w:line="348" w:lineRule="auto"/>
        <w:jc w:val="center"/>
        <w:rPr>
          <w:rFonts w:hint="eastAsia" w:ascii="Times New Roman" w:hAnsi="Times New Roman" w:eastAsia="楷体_GB2312"/>
          <w:bCs/>
          <w:szCs w:val="32"/>
        </w:rPr>
      </w:pPr>
    </w:p>
    <w:p w14:paraId="5A88A581">
      <w:pPr>
        <w:spacing w:line="348" w:lineRule="auto"/>
        <w:jc w:val="center"/>
        <w:rPr>
          <w:rFonts w:hint="eastAsia" w:ascii="Times New Roman" w:hAnsi="Times New Roman" w:eastAsia="楷体_GB2312"/>
          <w:bCs/>
          <w:szCs w:val="32"/>
        </w:rPr>
      </w:pPr>
    </w:p>
    <w:p w14:paraId="69446081">
      <w:pPr>
        <w:spacing w:line="348" w:lineRule="auto"/>
        <w:jc w:val="center"/>
        <w:rPr>
          <w:rFonts w:hint="eastAsia" w:ascii="Times New Roman" w:hAnsi="Times New Roman" w:eastAsia="楷体_GB2312"/>
          <w:bCs/>
          <w:szCs w:val="32"/>
        </w:rPr>
      </w:pPr>
    </w:p>
    <w:p w14:paraId="0462F21A">
      <w:pPr>
        <w:spacing w:line="348" w:lineRule="auto"/>
        <w:jc w:val="center"/>
        <w:rPr>
          <w:rFonts w:hint="eastAsia" w:ascii="Times New Roman" w:hAnsi="Times New Roman" w:eastAsia="楷体_GB2312"/>
          <w:bCs/>
          <w:szCs w:val="32"/>
        </w:rPr>
      </w:pPr>
    </w:p>
    <w:p w14:paraId="534A17BA">
      <w:pPr>
        <w:spacing w:line="348" w:lineRule="auto"/>
        <w:jc w:val="center"/>
        <w:rPr>
          <w:rFonts w:hint="eastAsia" w:ascii="Times New Roman" w:hAnsi="Times New Roman" w:eastAsia="楷体_GB2312"/>
          <w:bCs/>
          <w:szCs w:val="32"/>
        </w:rPr>
      </w:pPr>
    </w:p>
    <w:p w14:paraId="19CA60F9">
      <w:pPr>
        <w:spacing w:line="348" w:lineRule="auto"/>
        <w:jc w:val="center"/>
        <w:rPr>
          <w:rFonts w:hint="eastAsia" w:ascii="Times New Roman" w:hAnsi="Times New Roman" w:eastAsia="楷体_GB2312"/>
          <w:bCs/>
          <w:szCs w:val="32"/>
        </w:rPr>
      </w:pPr>
    </w:p>
    <w:p w14:paraId="28F1F3EB">
      <w:pPr>
        <w:ind w:firstLine="320" w:firstLineChars="100"/>
        <w:rPr>
          <w:rFonts w:hint="eastAsia" w:ascii="Times New Roman" w:hAnsi="Times New Roman" w:eastAsia="仿宋_GB2312"/>
          <w:sz w:val="32"/>
          <w:szCs w:val="32"/>
        </w:rPr>
      </w:pPr>
      <w:r>
        <w:rPr>
          <w:rFonts w:hint="eastAsia" w:ascii="Times New Roman" w:hAnsi="Times New Roman" w:eastAsia="仿宋_GB2312"/>
          <w:sz w:val="32"/>
          <w:szCs w:val="32"/>
        </w:rPr>
        <w:t>评价类型：项目实施过程评价□   项目完成结果评价</w:t>
      </w:r>
      <w:r>
        <w:rPr>
          <w:rFonts w:hint="eastAsia" w:ascii="Times New Roman" w:hAnsi="Times New Roman" w:eastAsia="仿宋_GB2312"/>
          <w:sz w:val="32"/>
          <w:szCs w:val="32"/>
        </w:rPr>
        <w:sym w:font="Wingdings 2" w:char="0052"/>
      </w:r>
    </w:p>
    <w:p w14:paraId="32C024D3">
      <w:pPr>
        <w:spacing w:before="156" w:beforeLines="50" w:line="348" w:lineRule="auto"/>
        <w:ind w:firstLine="640" w:firstLineChars="200"/>
        <w:rPr>
          <w:rFonts w:hint="eastAsia" w:ascii="Times New Roman" w:hAnsi="Times New Roman" w:eastAsia="仿宋_GB2312"/>
          <w:sz w:val="32"/>
          <w:szCs w:val="32"/>
          <w:u w:val="single"/>
        </w:rPr>
      </w:pPr>
      <w:r>
        <w:rPr>
          <w:rFonts w:hint="eastAsia" w:ascii="Times New Roman" w:hAnsi="Times New Roman" w:eastAsia="仿宋_GB2312"/>
          <w:sz w:val="32"/>
          <w:szCs w:val="32"/>
        </w:rPr>
        <w:t>项目名称</w:t>
      </w:r>
      <w:r>
        <w:rPr>
          <w:rFonts w:hint="eastAsia"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 xml:space="preserve"> </w:t>
      </w:r>
      <w:r>
        <w:rPr>
          <w:rFonts w:hint="eastAsia" w:ascii="Times New Roman" w:hAnsi="Times New Roman" w:eastAsia="仿宋_GB2312"/>
          <w:sz w:val="32"/>
          <w:szCs w:val="32"/>
          <w:u w:val="single"/>
        </w:rPr>
        <w:t xml:space="preserve">食品快速检测试剂购置费          </w:t>
      </w:r>
    </w:p>
    <w:p w14:paraId="3EAF9D97">
      <w:pPr>
        <w:spacing w:before="156" w:beforeLines="50" w:line="348" w:lineRule="auto"/>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项目单位</w:t>
      </w:r>
      <w:r>
        <w:rPr>
          <w:rFonts w:hint="eastAsia"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天水市麦积区市场监督管理局</w:t>
      </w:r>
      <w:r>
        <w:rPr>
          <w:rFonts w:hint="eastAsia" w:ascii="Times New Roman" w:hAnsi="Times New Roman" w:eastAsia="仿宋_GB2312"/>
          <w:sz w:val="32"/>
          <w:szCs w:val="32"/>
          <w:u w:val="single"/>
        </w:rPr>
        <w:t xml:space="preserve">      </w:t>
      </w:r>
    </w:p>
    <w:p w14:paraId="40584E07">
      <w:pPr>
        <w:spacing w:before="156" w:beforeLines="50" w:line="348" w:lineRule="auto"/>
        <w:ind w:firstLine="640" w:firstLineChars="200"/>
        <w:rPr>
          <w:rFonts w:hint="eastAsia" w:ascii="Times New Roman" w:hAnsi="Times New Roman" w:eastAsia="仿宋_GB2312"/>
          <w:sz w:val="32"/>
          <w:szCs w:val="32"/>
          <w:u w:val="single"/>
        </w:rPr>
      </w:pPr>
      <w:r>
        <w:rPr>
          <w:rFonts w:hint="eastAsia" w:ascii="Times New Roman" w:hAnsi="Times New Roman" w:eastAsia="仿宋_GB2312"/>
          <w:sz w:val="32"/>
          <w:szCs w:val="32"/>
        </w:rPr>
        <w:t>主管部门</w:t>
      </w:r>
      <w:r>
        <w:rPr>
          <w:rFonts w:hint="eastAsia" w:ascii="Times New Roman" w:hAnsi="Times New Roman" w:eastAsia="仿宋_GB2312"/>
          <w:sz w:val="32"/>
          <w:szCs w:val="32"/>
          <w:u w:val="single"/>
        </w:rPr>
        <w:t xml:space="preserve">  </w:t>
      </w:r>
      <w:r>
        <w:rPr>
          <w:rFonts w:hint="eastAsia" w:ascii="Times New Roman" w:hAnsi="Times New Roman" w:eastAsia="仿宋_GB2312"/>
          <w:sz w:val="32"/>
          <w:szCs w:val="32"/>
          <w:u w:val="single"/>
          <w:lang w:val="en-US" w:eastAsia="zh-CN"/>
        </w:rPr>
        <w:t>天水市麦积区市场监督管理局</w:t>
      </w:r>
      <w:r>
        <w:rPr>
          <w:rFonts w:hint="eastAsia" w:ascii="Times New Roman" w:hAnsi="Times New Roman" w:eastAsia="仿宋_GB2312"/>
          <w:sz w:val="32"/>
          <w:szCs w:val="32"/>
          <w:u w:val="single"/>
        </w:rPr>
        <w:t xml:space="preserve">      </w:t>
      </w:r>
    </w:p>
    <w:p w14:paraId="3B7213C7">
      <w:pPr>
        <w:spacing w:before="156" w:beforeLines="50" w:line="348" w:lineRule="auto"/>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评价方式：自评</w:t>
      </w:r>
      <w:r>
        <w:rPr>
          <w:rFonts w:hint="eastAsia" w:ascii="Times New Roman" w:hAnsi="Times New Roman" w:eastAsia="仿宋_GB2312"/>
          <w:sz w:val="32"/>
          <w:szCs w:val="32"/>
        </w:rPr>
        <w:sym w:font="Wingdings 2" w:char="0052"/>
      </w:r>
      <w:r>
        <w:rPr>
          <w:rFonts w:hint="eastAsia" w:ascii="Times New Roman" w:hAnsi="Times New Roman" w:eastAsia="仿宋_GB2312"/>
          <w:sz w:val="32"/>
          <w:szCs w:val="32"/>
        </w:rPr>
        <w:t>/评价□/再评价□</w:t>
      </w:r>
    </w:p>
    <w:p w14:paraId="31335C51">
      <w:pPr>
        <w:spacing w:before="156" w:beforeLines="50" w:line="348" w:lineRule="auto"/>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评价机构：部门（单位）评价组</w:t>
      </w:r>
      <w:r>
        <w:rPr>
          <w:rFonts w:hint="eastAsia" w:ascii="Times New Roman" w:hAnsi="Times New Roman" w:eastAsia="仿宋_GB2312"/>
          <w:sz w:val="32"/>
          <w:szCs w:val="32"/>
        </w:rPr>
        <w:sym w:font="Wingdings 2" w:char="0052"/>
      </w:r>
      <w:r>
        <w:rPr>
          <w:rFonts w:hint="eastAsia" w:ascii="Times New Roman" w:hAnsi="Times New Roman" w:eastAsia="仿宋_GB2312"/>
          <w:sz w:val="32"/>
          <w:szCs w:val="32"/>
        </w:rPr>
        <w:t xml:space="preserve">/第三方机构□   </w:t>
      </w:r>
    </w:p>
    <w:p w14:paraId="10DAB116">
      <w:pPr>
        <w:spacing w:line="348" w:lineRule="auto"/>
        <w:jc w:val="both"/>
        <w:rPr>
          <w:rFonts w:hint="eastAsia" w:ascii="Times New Roman" w:hAnsi="Times New Roman" w:eastAsia="仿宋_GB2312"/>
          <w:sz w:val="32"/>
          <w:szCs w:val="32"/>
        </w:rPr>
      </w:pPr>
    </w:p>
    <w:p w14:paraId="11680A2F">
      <w:pPr>
        <w:spacing w:before="156" w:beforeLines="50" w:line="348" w:lineRule="auto"/>
        <w:ind w:firstLine="1600" w:firstLineChars="5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rPr>
        <w:t xml:space="preserve">报告日期： </w:t>
      </w:r>
      <w:r>
        <w:rPr>
          <w:rFonts w:hint="eastAsia" w:ascii="Times New Roman" w:hAnsi="Times New Roman" w:eastAsia="仿宋_GB2312"/>
          <w:sz w:val="32"/>
          <w:szCs w:val="32"/>
          <w:lang w:val="en-US" w:eastAsia="zh-CN"/>
        </w:rPr>
        <w:t>2025</w:t>
      </w:r>
      <w:r>
        <w:rPr>
          <w:rFonts w:hint="eastAsia" w:ascii="Times New Roman" w:hAnsi="Times New Roman" w:eastAsia="仿宋_GB2312"/>
          <w:sz w:val="32"/>
          <w:szCs w:val="32"/>
        </w:rPr>
        <w:t xml:space="preserve"> 年 </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 xml:space="preserve"> 月 </w:t>
      </w:r>
      <w:r>
        <w:rPr>
          <w:rFonts w:hint="eastAsia" w:ascii="Times New Roman" w:hAnsi="Times New Roman" w:eastAsia="仿宋_GB2312"/>
          <w:sz w:val="32"/>
          <w:szCs w:val="32"/>
          <w:lang w:val="en-US" w:eastAsia="zh-CN"/>
        </w:rPr>
        <w:t>20</w:t>
      </w:r>
      <w:r>
        <w:rPr>
          <w:rFonts w:hint="eastAsia" w:ascii="Times New Roman" w:hAnsi="Times New Roman" w:eastAsia="仿宋_GB2312"/>
          <w:sz w:val="32"/>
          <w:szCs w:val="32"/>
        </w:rPr>
        <w:t xml:space="preserve"> 日</w:t>
      </w:r>
    </w:p>
    <w:p w14:paraId="56F68C2F">
      <w:pPr>
        <w:spacing w:before="156" w:beforeLines="50" w:line="348" w:lineRule="auto"/>
        <w:ind w:firstLine="1120" w:firstLineChars="350"/>
        <w:rPr>
          <w:rFonts w:hint="eastAsia" w:ascii="Times New Roman" w:hAnsi="Times New Roman" w:eastAsia="仿宋_GB2312"/>
          <w:sz w:val="32"/>
          <w:szCs w:val="32"/>
        </w:rPr>
      </w:pPr>
    </w:p>
    <w:p w14:paraId="369CBC1D">
      <w:pPr>
        <w:spacing w:line="348" w:lineRule="auto"/>
        <w:jc w:val="center"/>
        <w:rPr>
          <w:rFonts w:hint="eastAsia" w:ascii="Times New Roman" w:hAnsi="Times New Roman" w:eastAsia="仿宋_GB2312"/>
          <w:sz w:val="32"/>
          <w:szCs w:val="32"/>
        </w:rPr>
      </w:pPr>
    </w:p>
    <w:p w14:paraId="072CACB4">
      <w:pPr>
        <w:spacing w:line="348" w:lineRule="auto"/>
        <w:jc w:val="center"/>
        <w:rPr>
          <w:rFonts w:hint="eastAsia" w:ascii="Times New Roman" w:hAnsi="Times New Roman" w:eastAsia="仿宋_GB2312"/>
          <w:sz w:val="32"/>
          <w:szCs w:val="32"/>
        </w:rPr>
      </w:pPr>
    </w:p>
    <w:p w14:paraId="7A6130F4">
      <w:pPr>
        <w:spacing w:line="348" w:lineRule="auto"/>
        <w:jc w:val="center"/>
        <w:rPr>
          <w:rFonts w:hint="eastAsia" w:ascii="Times New Roman" w:hAnsi="Times New Roman" w:eastAsia="仿宋_GB2312"/>
          <w:sz w:val="32"/>
          <w:szCs w:val="32"/>
          <w:lang w:val="en-US" w:eastAsia="zh-CN"/>
        </w:rPr>
        <w:sectPr>
          <w:footerReference r:id="rId3" w:type="default"/>
          <w:pgSz w:w="11906" w:h="16838"/>
          <w:pgMar w:top="2098" w:right="1474" w:bottom="1984" w:left="1587" w:header="851" w:footer="1417" w:gutter="0"/>
          <w:paperSrc/>
          <w:cols w:space="0" w:num="1"/>
          <w:rtlGutter w:val="0"/>
          <w:docGrid w:type="lines" w:linePitch="312" w:charSpace="0"/>
        </w:sectPr>
      </w:pPr>
    </w:p>
    <w:p w14:paraId="2B46DA59">
      <w:pPr>
        <w:keepNext w:val="0"/>
        <w:keepLines w:val="0"/>
        <w:pageBreakBefore w:val="0"/>
        <w:widowControl w:val="0"/>
        <w:kinsoku/>
        <w:wordWrap/>
        <w:overflowPunct/>
        <w:topLinePunct w:val="0"/>
        <w:autoSpaceDE/>
        <w:autoSpaceDN/>
        <w:bidi w:val="0"/>
        <w:snapToGrid w:val="0"/>
        <w:spacing w:line="576" w:lineRule="exact"/>
        <w:jc w:val="center"/>
        <w:textAlignment w:val="auto"/>
        <w:rPr>
          <w:rFonts w:hint="eastAsia" w:ascii="Times New Roman" w:hAnsi="Times New Roman" w:eastAsia="方正小标宋简体"/>
          <w:sz w:val="44"/>
          <w:szCs w:val="44"/>
        </w:rPr>
      </w:pPr>
      <w:r>
        <w:rPr>
          <w:rFonts w:hint="eastAsia" w:ascii="Times New Roman" w:hAnsi="Times New Roman" w:eastAsia="方正小标宋简体"/>
          <w:bCs/>
          <w:sz w:val="44"/>
          <w:szCs w:val="44"/>
        </w:rPr>
        <w:t>项</w:t>
      </w:r>
      <w:r>
        <w:rPr>
          <w:rFonts w:hint="eastAsia" w:ascii="Times New Roman" w:hAnsi="Times New Roman" w:eastAsia="方正小标宋简体"/>
          <w:sz w:val="44"/>
          <w:szCs w:val="44"/>
        </w:rPr>
        <w:t>目支出绩效自评报告</w:t>
      </w:r>
    </w:p>
    <w:p w14:paraId="5FBA9C89">
      <w:pPr>
        <w:keepNext w:val="0"/>
        <w:keepLines w:val="0"/>
        <w:pageBreakBefore w:val="0"/>
        <w:widowControl w:val="0"/>
        <w:kinsoku/>
        <w:wordWrap/>
        <w:overflowPunct/>
        <w:topLinePunct w:val="0"/>
        <w:autoSpaceDE/>
        <w:autoSpaceDN/>
        <w:bidi w:val="0"/>
        <w:adjustRightInd/>
        <w:snapToGrid w:val="0"/>
        <w:spacing w:line="576" w:lineRule="exact"/>
        <w:jc w:val="center"/>
        <w:textAlignment w:val="auto"/>
        <w:rPr>
          <w:rFonts w:hint="eastAsia" w:ascii="Times New Roman" w:hAnsi="Times New Roman" w:eastAsia="楷体_GB2312"/>
          <w:sz w:val="28"/>
          <w:szCs w:val="28"/>
        </w:rPr>
      </w:pPr>
    </w:p>
    <w:p w14:paraId="606363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黑体"/>
          <w:b w:val="0"/>
          <w:bCs w:val="0"/>
          <w:sz w:val="32"/>
          <w:szCs w:val="32"/>
        </w:rPr>
      </w:pPr>
      <w:r>
        <w:rPr>
          <w:rFonts w:ascii="Times New Roman" w:hAnsi="Times New Roman" w:eastAsia="黑体"/>
          <w:b w:val="0"/>
          <w:bCs w:val="0"/>
          <w:sz w:val="32"/>
          <w:szCs w:val="32"/>
        </w:rPr>
        <w:t>一、项目基本情况</w:t>
      </w:r>
    </w:p>
    <w:p w14:paraId="0593DD0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Times New Roman" w:hAnsi="Times New Roman" w:eastAsia="仿宋_GB2312"/>
          <w:b/>
          <w:bCs/>
          <w:sz w:val="32"/>
          <w:szCs w:val="32"/>
        </w:rPr>
      </w:pPr>
      <w:r>
        <w:rPr>
          <w:rFonts w:hint="eastAsia" w:ascii="Times New Roman" w:hAnsi="Times New Roman" w:eastAsia="楷体_GB2312" w:cs="楷体_GB2312"/>
          <w:b w:val="0"/>
          <w:bCs w:val="0"/>
          <w:sz w:val="32"/>
          <w:szCs w:val="32"/>
          <w:lang w:eastAsia="zh-CN"/>
        </w:rPr>
        <w:t>（一）项目立项背景</w:t>
      </w:r>
    </w:p>
    <w:p w14:paraId="6EB2D739">
      <w:pPr>
        <w:keepNext w:val="0"/>
        <w:keepLines w:val="0"/>
        <w:pageBreakBefore w:val="0"/>
        <w:widowControl w:val="0"/>
        <w:numPr>
          <w:ilvl w:val="0"/>
          <w:numId w:val="0"/>
        </w:numPr>
        <w:kinsoku/>
        <w:wordWrap/>
        <w:overflowPunct/>
        <w:topLinePunct w:val="0"/>
        <w:autoSpaceDE/>
        <w:autoSpaceDN/>
        <w:bidi w:val="0"/>
        <w:adjustRightInd w:val="0"/>
        <w:snapToGrid/>
        <w:spacing w:line="576"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根据《中华人民共和国食品安全法》第一百一十二条规定县级以上人民政府食品药品监督管理部门在食品安全监督管理工作中可以采用国家规定的快速检测方法对食品进行抽查检测。</w:t>
      </w:r>
    </w:p>
    <w:p w14:paraId="68E5B7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楷体_GB2312" w:cs="楷体_GB2312"/>
          <w:b w:val="0"/>
          <w:bCs w:val="0"/>
          <w:sz w:val="32"/>
          <w:szCs w:val="32"/>
          <w:lang w:eastAsia="zh-CN"/>
        </w:rPr>
      </w:pPr>
      <w:r>
        <w:rPr>
          <w:rFonts w:hint="eastAsia" w:ascii="Times New Roman" w:hAnsi="Times New Roman" w:eastAsia="楷体_GB2312" w:cs="楷体_GB2312"/>
          <w:b w:val="0"/>
          <w:bCs w:val="0"/>
          <w:sz w:val="32"/>
          <w:szCs w:val="32"/>
          <w:lang w:eastAsia="zh-CN"/>
        </w:rPr>
        <w:t>（二）项目预算安排及使用情况</w:t>
      </w:r>
    </w:p>
    <w:p w14:paraId="70185AAD">
      <w:pPr>
        <w:pStyle w:val="12"/>
        <w:keepNext w:val="0"/>
        <w:keepLines w:val="0"/>
        <w:pageBreakBefore w:val="0"/>
        <w:widowControl w:val="0"/>
        <w:kinsoku/>
        <w:wordWrap/>
        <w:overflowPunct/>
        <w:topLinePunct w:val="0"/>
        <w:autoSpaceDE/>
        <w:autoSpaceDN/>
        <w:bidi w:val="0"/>
        <w:snapToGrid/>
        <w:spacing w:line="576" w:lineRule="exact"/>
        <w:ind w:firstLine="624" w:firstLineChars="195"/>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年初资金拨付10万元，后指标冻结并收回，</w:t>
      </w:r>
      <w:r>
        <w:rPr>
          <w:rFonts w:hint="eastAsia" w:ascii="Times New Roman" w:hAnsi="Times New Roman" w:eastAsia="仿宋_GB2312" w:cs="Times New Roman"/>
          <w:kern w:val="2"/>
          <w:sz w:val="32"/>
          <w:szCs w:val="32"/>
          <w:lang w:val="en-US" w:eastAsia="zh-CN" w:bidi="ar-SA"/>
        </w:rPr>
        <w:t>全年开展食品快速检测7959批次，及时排查了食品安全隐患，保障了群众饮食安全，购置食品快速检测试剂费用</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19.8万元。</w:t>
      </w:r>
    </w:p>
    <w:p w14:paraId="66258C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楷体_GB2312" w:cs="楷体_GB2312"/>
          <w:b w:val="0"/>
          <w:bCs w:val="0"/>
          <w:sz w:val="32"/>
          <w:szCs w:val="32"/>
          <w:lang w:val="en-US" w:eastAsia="zh-CN"/>
        </w:rPr>
      </w:pPr>
      <w:r>
        <w:rPr>
          <w:rFonts w:hint="eastAsia" w:ascii="Times New Roman" w:hAnsi="Times New Roman" w:eastAsia="楷体_GB2312" w:cs="楷体_GB2312"/>
          <w:b w:val="0"/>
          <w:bCs w:val="0"/>
          <w:sz w:val="32"/>
          <w:szCs w:val="32"/>
          <w:lang w:val="en-US" w:eastAsia="zh-CN"/>
        </w:rPr>
        <w:t>（三）项目计划内容及实施情况</w:t>
      </w:r>
    </w:p>
    <w:p w14:paraId="618C2BCF">
      <w:pPr>
        <w:pStyle w:val="12"/>
        <w:keepNext w:val="0"/>
        <w:keepLines w:val="0"/>
        <w:pageBreakBefore w:val="0"/>
        <w:widowControl w:val="0"/>
        <w:kinsoku/>
        <w:wordWrap/>
        <w:overflowPunct/>
        <w:topLinePunct w:val="0"/>
        <w:autoSpaceDE/>
        <w:autoSpaceDN/>
        <w:bidi w:val="0"/>
        <w:snapToGrid/>
        <w:spacing w:line="576" w:lineRule="exact"/>
        <w:ind w:firstLine="624" w:firstLineChars="195"/>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有效地排查辖区各类食品销售单位经营情况，并对排查问题提出针对性治理措施，消除食品安全隐患。</w:t>
      </w:r>
    </w:p>
    <w:p w14:paraId="1396BA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楷体_GB2312" w:cs="楷体_GB2312"/>
          <w:b w:val="0"/>
          <w:bCs w:val="0"/>
          <w:sz w:val="32"/>
          <w:szCs w:val="32"/>
          <w:lang w:val="en-US" w:eastAsia="zh-CN"/>
        </w:rPr>
      </w:pPr>
      <w:r>
        <w:rPr>
          <w:rFonts w:hint="eastAsia" w:ascii="Times New Roman" w:hAnsi="Times New Roman" w:eastAsia="楷体_GB2312" w:cs="楷体_GB2312"/>
          <w:b w:val="0"/>
          <w:bCs w:val="0"/>
          <w:sz w:val="32"/>
          <w:szCs w:val="32"/>
          <w:lang w:val="en-US" w:eastAsia="zh-CN"/>
        </w:rPr>
        <w:t>（四）项目组织管理</w:t>
      </w:r>
    </w:p>
    <w:p w14:paraId="327AC4CB">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建立绩效管理制度</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明确绩效管理的目标、原则、内容、方法和程序，建立绩效管理的组织体系和工作机制</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确保绩效管理工作的顺利开展。</w:t>
      </w:r>
    </w:p>
    <w:p w14:paraId="6614F8AC">
      <w:pPr>
        <w:keepNext w:val="0"/>
        <w:keepLines w:val="0"/>
        <w:pageBreakBefore w:val="0"/>
        <w:widowControl w:val="0"/>
        <w:numPr>
          <w:ilvl w:val="0"/>
          <w:numId w:val="1"/>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黑体" w:cs="黑体"/>
          <w:b w:val="0"/>
          <w:bCs w:val="0"/>
          <w:sz w:val="32"/>
          <w:szCs w:val="40"/>
        </w:rPr>
      </w:pPr>
      <w:r>
        <w:rPr>
          <w:rFonts w:hint="eastAsia" w:ascii="Times New Roman" w:hAnsi="Times New Roman" w:eastAsia="黑体" w:cs="黑体"/>
          <w:b w:val="0"/>
          <w:bCs w:val="0"/>
          <w:sz w:val="32"/>
          <w:szCs w:val="40"/>
        </w:rPr>
        <w:t>项目绩效目标</w:t>
      </w:r>
    </w:p>
    <w:p w14:paraId="5EF3BFCB">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共完成食品安全快速检测7959批次，其中市场监管部门检测室3052批次、食用农产品快速检测室4453批次、食品安全快速检测车454批次，发现食用农产品农残超标26批次、餐饮具不合格4批次，下架、销毁相关食用农产品83公斤，检测合格率为99.62%。</w:t>
      </w:r>
    </w:p>
    <w:p w14:paraId="13843B67">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黑体" w:cs="黑体"/>
          <w:b w:val="0"/>
          <w:bCs w:val="0"/>
          <w:sz w:val="32"/>
          <w:szCs w:val="40"/>
        </w:rPr>
      </w:pPr>
      <w:r>
        <w:rPr>
          <w:rFonts w:hint="eastAsia" w:ascii="Times New Roman" w:hAnsi="Times New Roman" w:eastAsia="黑体" w:cs="黑体"/>
          <w:b w:val="0"/>
          <w:bCs w:val="0"/>
          <w:sz w:val="32"/>
          <w:szCs w:val="40"/>
        </w:rPr>
        <w:t>三、评价基本情况</w:t>
      </w:r>
    </w:p>
    <w:p w14:paraId="7660C21B">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楷体_GB2312" w:cs="楷体_GB2312"/>
          <w:b w:val="0"/>
          <w:bCs w:val="0"/>
          <w:sz w:val="32"/>
          <w:szCs w:val="32"/>
          <w:lang w:val="en-US" w:eastAsia="zh-CN"/>
        </w:rPr>
      </w:pPr>
      <w:r>
        <w:rPr>
          <w:rFonts w:hint="eastAsia" w:ascii="Times New Roman" w:hAnsi="Times New Roman" w:eastAsia="楷体_GB2312" w:cs="楷体_GB2312"/>
          <w:b w:val="0"/>
          <w:bCs w:val="0"/>
          <w:sz w:val="32"/>
          <w:szCs w:val="32"/>
          <w:lang w:val="en-US" w:eastAsia="zh-CN"/>
        </w:rPr>
        <w:t>（一）评价目的</w:t>
      </w:r>
    </w:p>
    <w:p w14:paraId="6C0ED593">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 w:cs="仿宋"/>
          <w:sz w:val="32"/>
          <w:szCs w:val="40"/>
          <w:lang w:eastAsia="zh-CN"/>
        </w:rPr>
      </w:pPr>
      <w:r>
        <w:rPr>
          <w:rFonts w:hint="eastAsia" w:ascii="Times New Roman" w:hAnsi="Times New Roman" w:eastAsia="仿宋" w:cs="仿宋"/>
          <w:sz w:val="32"/>
          <w:szCs w:val="40"/>
          <w:lang w:eastAsia="zh-CN"/>
        </w:rPr>
        <w:t>通过评价项目资金使用效率、产出成果及社会效益，总结经验，为后续项目优化提供依据，提升财政资金在食品安全监管中的投入效益。</w:t>
      </w:r>
    </w:p>
    <w:p w14:paraId="248539DE">
      <w:pPr>
        <w:pStyle w:val="12"/>
        <w:keepNext w:val="0"/>
        <w:keepLines w:val="0"/>
        <w:pageBreakBefore w:val="0"/>
        <w:widowControl w:val="0"/>
        <w:numPr>
          <w:ilvl w:val="0"/>
          <w:numId w:val="0"/>
        </w:numPr>
        <w:kinsoku/>
        <w:wordWrap/>
        <w:overflowPunct/>
        <w:topLinePunct w:val="0"/>
        <w:autoSpaceDE/>
        <w:autoSpaceDN/>
        <w:bidi w:val="0"/>
        <w:snapToGrid/>
        <w:spacing w:line="576" w:lineRule="exact"/>
        <w:ind w:firstLine="624" w:firstLineChars="195"/>
        <w:textAlignment w:val="auto"/>
        <w:rPr>
          <w:rFonts w:hint="eastAsia" w:ascii="Times New Roman" w:hAnsi="Times New Roman" w:eastAsia="楷体_GB2312" w:cs="楷体_GB2312"/>
          <w:b w:val="0"/>
          <w:bCs w:val="0"/>
          <w:kern w:val="2"/>
          <w:sz w:val="32"/>
          <w:szCs w:val="32"/>
          <w:lang w:val="en-US" w:eastAsia="zh-CN" w:bidi="ar-SA"/>
        </w:rPr>
      </w:pPr>
      <w:r>
        <w:rPr>
          <w:rFonts w:hint="eastAsia" w:ascii="Times New Roman" w:hAnsi="Times New Roman" w:eastAsia="楷体_GB2312" w:cs="楷体_GB2312"/>
          <w:b w:val="0"/>
          <w:bCs w:val="0"/>
          <w:kern w:val="2"/>
          <w:sz w:val="32"/>
          <w:szCs w:val="32"/>
          <w:lang w:val="en-US" w:eastAsia="zh-CN" w:bidi="ar-SA"/>
        </w:rPr>
        <w:t>（二）评价对象与范围</w:t>
      </w:r>
    </w:p>
    <w:p w14:paraId="7E1751A0">
      <w:pPr>
        <w:pStyle w:val="12"/>
        <w:keepNext w:val="0"/>
        <w:keepLines w:val="0"/>
        <w:pageBreakBefore w:val="0"/>
        <w:widowControl w:val="0"/>
        <w:numPr>
          <w:ilvl w:val="0"/>
          <w:numId w:val="0"/>
        </w:numPr>
        <w:kinsoku/>
        <w:wordWrap/>
        <w:overflowPunct/>
        <w:topLinePunct w:val="0"/>
        <w:autoSpaceDE/>
        <w:autoSpaceDN/>
        <w:bidi w:val="0"/>
        <w:snapToGrid/>
        <w:spacing w:line="576" w:lineRule="exact"/>
        <w:ind w:firstLine="624" w:firstLineChars="195"/>
        <w:textAlignment w:val="auto"/>
        <w:rPr>
          <w:rFonts w:hint="eastAsia" w:ascii="Times New Roman" w:hAnsi="Times New Roman" w:eastAsia="仿宋" w:cs="仿宋"/>
          <w:sz w:val="32"/>
          <w:szCs w:val="40"/>
          <w:lang w:eastAsia="zh-CN"/>
        </w:rPr>
      </w:pPr>
      <w:r>
        <w:rPr>
          <w:rFonts w:hint="eastAsia" w:ascii="Times New Roman" w:hAnsi="Times New Roman" w:eastAsia="仿宋" w:cs="仿宋"/>
          <w:sz w:val="32"/>
          <w:szCs w:val="40"/>
          <w:lang w:eastAsia="zh-CN"/>
        </w:rPr>
        <w:t>涵盖项目全部资金支出，以及项目立项、预算编制与执行、项目产出和效益等各个环节。</w:t>
      </w:r>
    </w:p>
    <w:p w14:paraId="74AC5F7E">
      <w:pPr>
        <w:pStyle w:val="12"/>
        <w:keepNext w:val="0"/>
        <w:keepLines w:val="0"/>
        <w:pageBreakBefore w:val="0"/>
        <w:widowControl w:val="0"/>
        <w:numPr>
          <w:ilvl w:val="0"/>
          <w:numId w:val="0"/>
        </w:numPr>
        <w:kinsoku/>
        <w:wordWrap/>
        <w:overflowPunct/>
        <w:topLinePunct w:val="0"/>
        <w:autoSpaceDE/>
        <w:autoSpaceDN/>
        <w:bidi w:val="0"/>
        <w:snapToGrid/>
        <w:spacing w:line="576" w:lineRule="exact"/>
        <w:ind w:firstLine="624" w:firstLineChars="195"/>
        <w:textAlignment w:val="auto"/>
        <w:rPr>
          <w:rFonts w:hint="eastAsia" w:ascii="Times New Roman" w:hAnsi="Times New Roman" w:eastAsia="楷体_GB2312" w:cs="楷体_GB2312"/>
          <w:b w:val="0"/>
          <w:bCs w:val="0"/>
          <w:kern w:val="2"/>
          <w:sz w:val="32"/>
          <w:szCs w:val="32"/>
          <w:lang w:val="en-US" w:eastAsia="zh-CN" w:bidi="ar-SA"/>
        </w:rPr>
      </w:pPr>
      <w:r>
        <w:rPr>
          <w:rFonts w:hint="eastAsia" w:ascii="Times New Roman" w:hAnsi="Times New Roman" w:eastAsia="楷体_GB2312" w:cs="楷体_GB2312"/>
          <w:b w:val="0"/>
          <w:bCs w:val="0"/>
          <w:kern w:val="2"/>
          <w:sz w:val="32"/>
          <w:szCs w:val="32"/>
          <w:lang w:val="en-US" w:eastAsia="zh-CN" w:bidi="ar-SA"/>
        </w:rPr>
        <w:t>（三）评价依据</w:t>
      </w:r>
    </w:p>
    <w:p w14:paraId="3924680E">
      <w:pPr>
        <w:pStyle w:val="12"/>
        <w:keepNext w:val="0"/>
        <w:keepLines w:val="0"/>
        <w:pageBreakBefore w:val="0"/>
        <w:widowControl w:val="0"/>
        <w:numPr>
          <w:ilvl w:val="0"/>
          <w:numId w:val="0"/>
        </w:numPr>
        <w:kinsoku/>
        <w:wordWrap/>
        <w:overflowPunct/>
        <w:topLinePunct w:val="0"/>
        <w:autoSpaceDE/>
        <w:autoSpaceDN/>
        <w:bidi w:val="0"/>
        <w:snapToGrid/>
        <w:spacing w:line="576" w:lineRule="exact"/>
        <w:ind w:firstLine="624" w:firstLineChars="195"/>
        <w:textAlignment w:val="auto"/>
        <w:rPr>
          <w:rFonts w:hint="eastAsia" w:ascii="Times New Roman" w:hAnsi="Times New Roman" w:eastAsia="仿宋_GB2312" w:cs="仿宋"/>
          <w:sz w:val="32"/>
          <w:szCs w:val="40"/>
          <w:lang w:val="en-US" w:eastAsia="zh-CN"/>
        </w:rPr>
      </w:pPr>
      <w:r>
        <w:rPr>
          <w:rFonts w:hint="eastAsia" w:ascii="Times New Roman" w:hAnsi="Times New Roman" w:eastAsia="仿宋_GB2312" w:cs="Times New Roman"/>
          <w:sz w:val="32"/>
          <w:szCs w:val="32"/>
          <w:lang w:eastAsia="zh-CN"/>
        </w:rPr>
        <w:t>《中华人民共和国食品安全法》第一百一十二条规定。</w:t>
      </w:r>
    </w:p>
    <w:p w14:paraId="6FED3B57">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楷体_GB2312" w:cs="楷体_GB2312"/>
          <w:b w:val="0"/>
          <w:bCs w:val="0"/>
          <w:kern w:val="2"/>
          <w:sz w:val="32"/>
          <w:szCs w:val="32"/>
          <w:lang w:val="en-US" w:eastAsia="zh-CN" w:bidi="ar-SA"/>
        </w:rPr>
      </w:pPr>
      <w:r>
        <w:rPr>
          <w:rFonts w:hint="eastAsia" w:ascii="Times New Roman" w:hAnsi="Times New Roman" w:eastAsia="楷体_GB2312" w:cs="楷体_GB2312"/>
          <w:b w:val="0"/>
          <w:bCs w:val="0"/>
          <w:kern w:val="2"/>
          <w:sz w:val="32"/>
          <w:szCs w:val="32"/>
          <w:lang w:val="en-US" w:eastAsia="zh-CN" w:bidi="ar-SA"/>
        </w:rPr>
        <w:t>（四）评价原则、评价方法</w:t>
      </w:r>
    </w:p>
    <w:p w14:paraId="5A03327E">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 w:cs="仿宋"/>
          <w:sz w:val="32"/>
          <w:szCs w:val="40"/>
          <w:lang w:eastAsia="zh-CN"/>
        </w:rPr>
      </w:pPr>
      <w:r>
        <w:rPr>
          <w:rFonts w:hint="eastAsia" w:ascii="Times New Roman" w:hAnsi="Times New Roman" w:eastAsia="仿宋" w:cs="仿宋"/>
          <w:sz w:val="32"/>
          <w:szCs w:val="40"/>
          <w:lang w:eastAsia="zh-CN"/>
        </w:rPr>
        <w:t>遵循科学规范、公开公正、分级分类、绩效相关的原则。</w:t>
      </w:r>
    </w:p>
    <w:p w14:paraId="0008378F">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楷体_GB2312" w:cs="楷体_GB2312"/>
          <w:b w:val="0"/>
          <w:bCs w:val="0"/>
          <w:kern w:val="2"/>
          <w:sz w:val="32"/>
          <w:szCs w:val="32"/>
          <w:lang w:val="en-US" w:eastAsia="zh-CN" w:bidi="ar-SA"/>
        </w:rPr>
      </w:pPr>
      <w:r>
        <w:rPr>
          <w:rFonts w:hint="eastAsia" w:ascii="Times New Roman" w:hAnsi="Times New Roman" w:eastAsia="楷体_GB2312" w:cs="楷体_GB2312"/>
          <w:b w:val="0"/>
          <w:bCs w:val="0"/>
          <w:kern w:val="2"/>
          <w:sz w:val="32"/>
          <w:szCs w:val="32"/>
          <w:lang w:val="en-US" w:eastAsia="zh-CN" w:bidi="ar-SA"/>
        </w:rPr>
        <w:t>（五）绩效评价指标体系</w:t>
      </w:r>
    </w:p>
    <w:p w14:paraId="5C39C1CF">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 w:cs="仿宋"/>
          <w:sz w:val="32"/>
          <w:szCs w:val="40"/>
          <w:lang w:eastAsia="zh-CN"/>
        </w:rPr>
      </w:pPr>
      <w:r>
        <w:rPr>
          <w:rFonts w:hint="eastAsia" w:ascii="Times New Roman" w:hAnsi="Times New Roman" w:eastAsia="仿宋" w:cs="仿宋"/>
          <w:sz w:val="32"/>
          <w:szCs w:val="40"/>
          <w:lang w:eastAsia="zh-CN"/>
        </w:rPr>
        <w:t>建立健全绩效评价指标体系。</w:t>
      </w:r>
    </w:p>
    <w:p w14:paraId="3D7EB361">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楷体_GB2312" w:cs="楷体_GB2312"/>
          <w:b w:val="0"/>
          <w:bCs w:val="0"/>
          <w:kern w:val="2"/>
          <w:sz w:val="32"/>
          <w:szCs w:val="32"/>
          <w:lang w:val="en-US" w:eastAsia="zh-CN" w:bidi="ar-SA"/>
        </w:rPr>
      </w:pPr>
      <w:r>
        <w:rPr>
          <w:rFonts w:hint="eastAsia" w:ascii="Times New Roman" w:hAnsi="Times New Roman" w:eastAsia="楷体_GB2312" w:cs="楷体_GB2312"/>
          <w:b w:val="0"/>
          <w:bCs w:val="0"/>
          <w:kern w:val="2"/>
          <w:sz w:val="32"/>
          <w:szCs w:val="32"/>
          <w:lang w:val="en-US" w:eastAsia="zh-CN" w:bidi="ar-SA"/>
        </w:rPr>
        <w:t>（六）评价人员组成</w:t>
      </w:r>
    </w:p>
    <w:p w14:paraId="38862C65">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 w:cs="仿宋"/>
          <w:sz w:val="32"/>
          <w:szCs w:val="40"/>
          <w:lang w:eastAsia="zh-CN"/>
        </w:rPr>
      </w:pPr>
      <w:r>
        <w:rPr>
          <w:rFonts w:hint="eastAsia" w:ascii="Times New Roman" w:hAnsi="Times New Roman" w:eastAsia="仿宋_GB2312" w:cs="仿宋_GB2312"/>
          <w:sz w:val="32"/>
          <w:szCs w:val="32"/>
          <w:lang w:val="en-US" w:eastAsia="zh-CN"/>
        </w:rPr>
        <w:t>领导小组组成人员及主要职责：组长张锦涛（区市场监管局党组成员）、副组长安宗敏（区市场监管局办公室主任）、成员：王小艳（会计）、杨洁（出纳）、卢美晨（办公室人员），领导小组下设办公室，安宗敏同志负责推进预算绩效管理工作的组织、协调与推动。</w:t>
      </w:r>
    </w:p>
    <w:p w14:paraId="12B1B588">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楷体_GB2312" w:cs="楷体_GB2312"/>
          <w:b w:val="0"/>
          <w:bCs w:val="0"/>
          <w:kern w:val="2"/>
          <w:sz w:val="32"/>
          <w:szCs w:val="32"/>
          <w:lang w:val="en-US" w:eastAsia="zh-CN" w:bidi="ar-SA"/>
        </w:rPr>
      </w:pPr>
      <w:r>
        <w:rPr>
          <w:rFonts w:hint="eastAsia" w:ascii="Times New Roman" w:hAnsi="Times New Roman" w:eastAsia="楷体_GB2312" w:cs="楷体_GB2312"/>
          <w:b w:val="0"/>
          <w:bCs w:val="0"/>
          <w:kern w:val="2"/>
          <w:sz w:val="32"/>
          <w:szCs w:val="32"/>
          <w:lang w:val="en-US" w:eastAsia="zh-CN" w:bidi="ar-SA"/>
        </w:rPr>
        <w:t>（七）绩效评价工作过程</w:t>
      </w:r>
    </w:p>
    <w:p w14:paraId="182258F2">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 w:cs="仿宋"/>
          <w:sz w:val="32"/>
          <w:szCs w:val="40"/>
        </w:rPr>
      </w:pPr>
      <w:r>
        <w:rPr>
          <w:rFonts w:hint="eastAsia" w:ascii="Times New Roman" w:hAnsi="Times New Roman" w:eastAsia="仿宋" w:cs="仿宋"/>
          <w:sz w:val="32"/>
          <w:szCs w:val="40"/>
          <w:lang w:eastAsia="zh-CN"/>
        </w:rPr>
        <w:t>通过</w:t>
      </w:r>
      <w:r>
        <w:rPr>
          <w:rFonts w:hint="eastAsia" w:ascii="Times New Roman" w:hAnsi="Times New Roman" w:eastAsia="仿宋" w:cs="仿宋"/>
          <w:sz w:val="32"/>
          <w:szCs w:val="40"/>
        </w:rPr>
        <w:t>前期准备、非现场评价、现场评价、综合分析、评价报告撰写等评价工作过程。</w:t>
      </w:r>
    </w:p>
    <w:p w14:paraId="1172933B">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黑体" w:cs="黑体"/>
          <w:b w:val="0"/>
          <w:bCs w:val="0"/>
          <w:sz w:val="32"/>
          <w:szCs w:val="40"/>
        </w:rPr>
      </w:pPr>
      <w:r>
        <w:rPr>
          <w:rFonts w:hint="eastAsia" w:ascii="Times New Roman" w:hAnsi="Times New Roman" w:eastAsia="黑体" w:cs="黑体"/>
          <w:b w:val="0"/>
          <w:bCs w:val="0"/>
          <w:sz w:val="32"/>
          <w:szCs w:val="40"/>
        </w:rPr>
        <w:t>四、评价结论及分析</w:t>
      </w:r>
    </w:p>
    <w:p w14:paraId="1B7A874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楷体_GB2312" w:cs="楷体_GB2312"/>
          <w:b w:val="0"/>
          <w:bCs w:val="0"/>
          <w:kern w:val="2"/>
          <w:sz w:val="32"/>
          <w:szCs w:val="32"/>
          <w:lang w:val="en-US" w:eastAsia="zh-CN" w:bidi="ar-SA"/>
        </w:rPr>
      </w:pPr>
      <w:r>
        <w:rPr>
          <w:rFonts w:hint="eastAsia" w:ascii="Times New Roman" w:hAnsi="Times New Roman" w:eastAsia="楷体_GB2312" w:cs="楷体_GB2312"/>
          <w:b w:val="0"/>
          <w:bCs w:val="0"/>
          <w:sz w:val="32"/>
          <w:szCs w:val="32"/>
          <w:lang w:val="en-US" w:eastAsia="zh-CN"/>
        </w:rPr>
        <w:t>（一）</w:t>
      </w:r>
      <w:r>
        <w:rPr>
          <w:rFonts w:hint="eastAsia" w:ascii="Times New Roman" w:hAnsi="Times New Roman" w:eastAsia="楷体_GB2312" w:cs="楷体_GB2312"/>
          <w:b w:val="0"/>
          <w:bCs w:val="0"/>
          <w:kern w:val="2"/>
          <w:sz w:val="32"/>
          <w:szCs w:val="32"/>
          <w:lang w:val="en-US" w:eastAsia="zh-CN" w:bidi="ar-SA"/>
        </w:rPr>
        <w:t>评分结果</w:t>
      </w:r>
    </w:p>
    <w:p w14:paraId="3740467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cs="仿宋_GB2312"/>
          <w:color w:val="000000" w:themeColor="text1"/>
          <w:sz w:val="32"/>
          <w:szCs w:val="32"/>
          <w:lang w:val="en-US" w:eastAsia="zh-CN"/>
          <w14:textFill>
            <w14:solidFill>
              <w14:schemeClr w14:val="tx1"/>
            </w14:solidFill>
          </w14:textFill>
        </w:rPr>
      </w:pP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采用</w:t>
      </w:r>
      <w:r>
        <w:rPr>
          <w:rFonts w:hint="default" w:ascii="Times New Roman" w:hAnsi="Times New Roman" w:eastAsia="仿宋_GB2312" w:cs="Times New Roman"/>
          <w:color w:val="000000" w:themeColor="text1"/>
          <w:sz w:val="32"/>
          <w:szCs w:val="32"/>
          <w:lang w:val="en-US" w:eastAsia="zh-CN"/>
          <w14:textFill>
            <w14:solidFill>
              <w14:schemeClr w14:val="tx1"/>
            </w14:solidFill>
          </w14:textFill>
        </w:rPr>
        <w:t>100</w:t>
      </w: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分制，项目总得分为90分，评价等级为“优”。</w:t>
      </w:r>
    </w:p>
    <w:p w14:paraId="6314E43A">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楷体_GB2312" w:cs="楷体_GB2312"/>
          <w:b w:val="0"/>
          <w:bCs w:val="0"/>
          <w:kern w:val="2"/>
          <w:sz w:val="32"/>
          <w:szCs w:val="32"/>
          <w:lang w:val="en-US" w:eastAsia="zh-CN" w:bidi="ar-SA"/>
        </w:rPr>
      </w:pPr>
      <w:r>
        <w:rPr>
          <w:rFonts w:hint="eastAsia" w:ascii="Times New Roman" w:hAnsi="Times New Roman" w:eastAsia="楷体_GB2312" w:cs="楷体_GB2312"/>
          <w:b w:val="0"/>
          <w:bCs w:val="0"/>
          <w:kern w:val="2"/>
          <w:sz w:val="32"/>
          <w:szCs w:val="32"/>
          <w:lang w:val="en-US" w:eastAsia="zh-CN" w:bidi="ar-SA"/>
        </w:rPr>
        <w:t>（二）主要结论</w:t>
      </w:r>
    </w:p>
    <w:p w14:paraId="3D234FAF">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 w:cs="仿宋"/>
          <w:sz w:val="32"/>
          <w:szCs w:val="40"/>
          <w:lang w:eastAsia="zh-CN"/>
        </w:rPr>
      </w:pPr>
      <w:r>
        <w:rPr>
          <w:rFonts w:hint="eastAsia" w:ascii="Times New Roman" w:hAnsi="Times New Roman" w:eastAsia="仿宋_GB2312" w:cs="仿宋_GB2312"/>
          <w:color w:val="000000" w:themeColor="text1"/>
          <w:sz w:val="32"/>
          <w:szCs w:val="32"/>
          <w:lang w:val="en-US" w:eastAsia="zh-CN"/>
          <w14:textFill>
            <w14:solidFill>
              <w14:schemeClr w14:val="tx1"/>
            </w14:solidFill>
          </w14:textFill>
        </w:rPr>
        <w:t>项目达到预期目标，资金使用合规且节约，采购及使用效率高，有效支撑了食品安全日常监管，实现了“早发现、早处置”的风险防控效果。</w:t>
      </w:r>
    </w:p>
    <w:p w14:paraId="3C227762">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黑体" w:cs="黑体"/>
          <w:b w:val="0"/>
          <w:bCs w:val="0"/>
          <w:sz w:val="32"/>
          <w:szCs w:val="40"/>
        </w:rPr>
      </w:pPr>
      <w:r>
        <w:rPr>
          <w:rFonts w:hint="eastAsia" w:ascii="Times New Roman" w:hAnsi="Times New Roman" w:eastAsia="黑体" w:cs="黑体"/>
          <w:b w:val="0"/>
          <w:bCs w:val="0"/>
          <w:sz w:val="32"/>
          <w:szCs w:val="40"/>
        </w:rPr>
        <w:t>五、绩效评价指标分析</w:t>
      </w:r>
    </w:p>
    <w:p w14:paraId="3769B729">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楷体_GB2312" w:cs="楷体_GB2312"/>
          <w:b w:val="0"/>
          <w:bCs w:val="0"/>
          <w:sz w:val="32"/>
          <w:szCs w:val="32"/>
          <w:lang w:val="en-US" w:eastAsia="zh-CN"/>
        </w:rPr>
      </w:pPr>
      <w:r>
        <w:rPr>
          <w:rFonts w:hint="eastAsia" w:ascii="Times New Roman" w:hAnsi="Times New Roman" w:eastAsia="楷体_GB2312" w:cs="楷体_GB2312"/>
          <w:b w:val="0"/>
          <w:bCs w:val="0"/>
          <w:sz w:val="32"/>
          <w:szCs w:val="32"/>
          <w:lang w:val="en-US" w:eastAsia="zh-CN"/>
        </w:rPr>
        <w:t>（一）项目决策情况</w:t>
      </w:r>
    </w:p>
    <w:p w14:paraId="4C4D60A4">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项目立项依据充分，绩效目标明确，资金使用规范。</w:t>
      </w:r>
    </w:p>
    <w:p w14:paraId="1E988852">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楷体_GB2312" w:cs="楷体_GB2312"/>
          <w:b w:val="0"/>
          <w:bCs w:val="0"/>
          <w:sz w:val="32"/>
          <w:szCs w:val="32"/>
          <w:lang w:val="en-US" w:eastAsia="zh-CN"/>
        </w:rPr>
      </w:pPr>
      <w:r>
        <w:rPr>
          <w:rFonts w:hint="eastAsia" w:ascii="Times New Roman" w:hAnsi="Times New Roman" w:eastAsia="楷体_GB2312" w:cs="楷体_GB2312"/>
          <w:b w:val="0"/>
          <w:bCs w:val="0"/>
          <w:kern w:val="2"/>
          <w:sz w:val="32"/>
          <w:szCs w:val="32"/>
          <w:lang w:val="en-US" w:eastAsia="zh-CN" w:bidi="ar-SA"/>
        </w:rPr>
        <w:t>（二）</w:t>
      </w:r>
      <w:r>
        <w:rPr>
          <w:rFonts w:hint="eastAsia" w:ascii="Times New Roman" w:hAnsi="Times New Roman" w:eastAsia="楷体_GB2312" w:cs="楷体_GB2312"/>
          <w:b w:val="0"/>
          <w:bCs w:val="0"/>
          <w:sz w:val="32"/>
          <w:szCs w:val="32"/>
          <w:lang w:val="en-US" w:eastAsia="zh-CN"/>
        </w:rPr>
        <w:t>项目过程情况</w:t>
      </w:r>
    </w:p>
    <w:p w14:paraId="1BF980E3">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资金管理规范，严格按照预算执行，采购程序合规。</w:t>
      </w:r>
    </w:p>
    <w:p w14:paraId="469F5097">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楷体_GB2312" w:cs="楷体_GB2312"/>
          <w:b w:val="0"/>
          <w:bCs w:val="0"/>
          <w:sz w:val="32"/>
          <w:szCs w:val="32"/>
          <w:lang w:val="en-US" w:eastAsia="zh-CN"/>
        </w:rPr>
      </w:pPr>
      <w:r>
        <w:rPr>
          <w:rFonts w:hint="eastAsia" w:ascii="Times New Roman" w:hAnsi="Times New Roman" w:eastAsia="楷体_GB2312" w:cs="楷体_GB2312"/>
          <w:b w:val="0"/>
          <w:bCs w:val="0"/>
          <w:kern w:val="2"/>
          <w:sz w:val="32"/>
          <w:szCs w:val="32"/>
          <w:lang w:val="en-US" w:eastAsia="zh-CN" w:bidi="ar-SA"/>
        </w:rPr>
        <w:t>（三）</w:t>
      </w:r>
      <w:r>
        <w:rPr>
          <w:rFonts w:hint="eastAsia" w:ascii="Times New Roman" w:hAnsi="Times New Roman" w:eastAsia="楷体_GB2312" w:cs="楷体_GB2312"/>
          <w:b w:val="0"/>
          <w:bCs w:val="0"/>
          <w:sz w:val="32"/>
          <w:szCs w:val="32"/>
          <w:lang w:val="en-US" w:eastAsia="zh-CN"/>
        </w:rPr>
        <w:t>项目产出情况</w:t>
      </w:r>
    </w:p>
    <w:p w14:paraId="627CB61E">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完成了年度检测任务，检测结果准确率提升。</w:t>
      </w:r>
    </w:p>
    <w:p w14:paraId="0833AE67">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楷体_GB2312" w:cs="楷体_GB2312"/>
          <w:b w:val="0"/>
          <w:bCs w:val="0"/>
          <w:sz w:val="32"/>
          <w:szCs w:val="32"/>
          <w:lang w:val="en-US" w:eastAsia="zh-CN"/>
        </w:rPr>
      </w:pPr>
      <w:r>
        <w:rPr>
          <w:rFonts w:hint="eastAsia" w:ascii="Times New Roman" w:hAnsi="Times New Roman" w:eastAsia="楷体_GB2312" w:cs="楷体_GB2312"/>
          <w:b w:val="0"/>
          <w:bCs w:val="0"/>
          <w:kern w:val="2"/>
          <w:sz w:val="32"/>
          <w:szCs w:val="32"/>
          <w:lang w:val="en-US" w:eastAsia="zh-CN" w:bidi="ar-SA"/>
        </w:rPr>
        <w:t>（四）</w:t>
      </w:r>
      <w:r>
        <w:rPr>
          <w:rFonts w:hint="eastAsia" w:ascii="Times New Roman" w:hAnsi="Times New Roman" w:eastAsia="楷体_GB2312" w:cs="楷体_GB2312"/>
          <w:b w:val="0"/>
          <w:bCs w:val="0"/>
          <w:sz w:val="32"/>
          <w:szCs w:val="32"/>
          <w:lang w:val="en-US" w:eastAsia="zh-CN"/>
        </w:rPr>
        <w:t>项目效益情况</w:t>
      </w:r>
    </w:p>
    <w:p w14:paraId="15363B77">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保障了辖区群众饮食安全，群众满意度提高。</w:t>
      </w:r>
    </w:p>
    <w:p w14:paraId="7296E305">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黑体" w:cs="黑体"/>
          <w:b w:val="0"/>
          <w:bCs w:val="0"/>
          <w:sz w:val="32"/>
          <w:szCs w:val="40"/>
        </w:rPr>
      </w:pPr>
      <w:r>
        <w:rPr>
          <w:rFonts w:hint="eastAsia" w:ascii="Times New Roman" w:hAnsi="Times New Roman" w:eastAsia="黑体" w:cs="黑体"/>
          <w:b w:val="0"/>
          <w:bCs w:val="0"/>
          <w:sz w:val="32"/>
          <w:szCs w:val="40"/>
        </w:rPr>
        <w:t>六、项目主要经验及做法</w:t>
      </w:r>
    </w:p>
    <w:p w14:paraId="3E839899">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全面梳理各类食品经营环节安全隐患及风险，有效地排查辖区各类食品经营单位经营情况，并对排查问题提出针对性治理措施，消除食品安全隐患。</w:t>
      </w:r>
    </w:p>
    <w:p w14:paraId="393C9690">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黑体" w:cs="黑体"/>
          <w:b w:val="0"/>
          <w:bCs w:val="0"/>
          <w:sz w:val="32"/>
          <w:szCs w:val="40"/>
        </w:rPr>
      </w:pPr>
      <w:r>
        <w:rPr>
          <w:rFonts w:hint="eastAsia" w:ascii="Times New Roman" w:hAnsi="Times New Roman" w:eastAsia="黑体" w:cs="黑体"/>
          <w:b w:val="0"/>
          <w:bCs w:val="0"/>
          <w:sz w:val="32"/>
          <w:szCs w:val="40"/>
        </w:rPr>
        <w:t>七、存在的问题及原因分析</w:t>
      </w:r>
    </w:p>
    <w:p w14:paraId="689935AB">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食品快速检测工作仍处于发展完善阶段，虽然在食品安全初步筛查、风险预警等方面发挥了重要作用，但技术精准度有限、基层专业人员短缺、设备试剂维护不足等问题，造成了监管效能难以充分释放。</w:t>
      </w:r>
    </w:p>
    <w:p w14:paraId="354ED6C1">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黑体" w:cs="黑体"/>
          <w:b w:val="0"/>
          <w:bCs w:val="0"/>
          <w:sz w:val="32"/>
          <w:szCs w:val="40"/>
        </w:rPr>
      </w:pPr>
      <w:r>
        <w:rPr>
          <w:rFonts w:hint="eastAsia" w:ascii="Times New Roman" w:hAnsi="Times New Roman" w:eastAsia="黑体" w:cs="黑体"/>
          <w:b w:val="0"/>
          <w:bCs w:val="0"/>
          <w:sz w:val="32"/>
          <w:szCs w:val="40"/>
        </w:rPr>
        <w:t>八、有关建议</w:t>
      </w:r>
    </w:p>
    <w:p w14:paraId="14893162">
      <w:pPr>
        <w:keepNext w:val="0"/>
        <w:keepLines w:val="0"/>
        <w:pageBreakBefore w:val="0"/>
        <w:widowControl w:val="0"/>
        <w:kinsoku/>
        <w:wordWrap/>
        <w:overflowPunct/>
        <w:topLinePunct w:val="0"/>
        <w:autoSpaceDE/>
        <w:autoSpaceDN/>
        <w:bidi w:val="0"/>
        <w:snapToGrid/>
        <w:spacing w:line="576" w:lineRule="exact"/>
        <w:ind w:firstLine="643"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b/>
          <w:bCs/>
          <w:sz w:val="32"/>
          <w:szCs w:val="32"/>
          <w:lang w:val="en-US" w:eastAsia="zh-CN"/>
        </w:rPr>
        <w:t>一是</w:t>
      </w:r>
      <w:r>
        <w:rPr>
          <w:rFonts w:hint="eastAsia" w:ascii="Times New Roman" w:hAnsi="Times New Roman" w:eastAsia="仿宋_GB2312" w:cs="仿宋_GB2312"/>
          <w:sz w:val="32"/>
          <w:szCs w:val="32"/>
          <w:lang w:val="en-US" w:eastAsia="zh-CN"/>
        </w:rPr>
        <w:t>严格按照技术规范和标准开展监测，加强对快检设备、试剂的质量管控，定期开展校准和维护，同时加强基层人员专业能力的培训；</w:t>
      </w:r>
      <w:r>
        <w:rPr>
          <w:rFonts w:hint="eastAsia" w:ascii="Times New Roman" w:hAnsi="Times New Roman" w:eastAsia="仿宋_GB2312" w:cs="仿宋_GB2312"/>
          <w:b/>
          <w:bCs/>
          <w:sz w:val="32"/>
          <w:szCs w:val="32"/>
          <w:lang w:val="en-US" w:eastAsia="zh-CN"/>
        </w:rPr>
        <w:t>二是</w:t>
      </w:r>
      <w:r>
        <w:rPr>
          <w:rFonts w:hint="eastAsia" w:ascii="Times New Roman" w:hAnsi="Times New Roman" w:eastAsia="仿宋_GB2312" w:cs="仿宋_GB2312"/>
          <w:sz w:val="32"/>
          <w:szCs w:val="32"/>
          <w:lang w:val="en-US" w:eastAsia="zh-CN"/>
        </w:rPr>
        <w:t>建立快检结果闭环管理制度，强化对不合格食品的溯源和处置，同时将快检结果与市场主体信用评价挂钩，通过激励和约束并重的方式，提升食品生产经营者的主体责任意识。</w:t>
      </w:r>
    </w:p>
    <w:p w14:paraId="73C15CD6">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黑体" w:cs="黑体"/>
          <w:b w:val="0"/>
          <w:bCs w:val="0"/>
          <w:sz w:val="32"/>
          <w:szCs w:val="40"/>
        </w:rPr>
      </w:pPr>
      <w:r>
        <w:rPr>
          <w:rFonts w:hint="eastAsia" w:ascii="Times New Roman" w:hAnsi="Times New Roman" w:eastAsia="黑体" w:cs="黑体"/>
          <w:b w:val="0"/>
          <w:bCs w:val="0"/>
          <w:kern w:val="2"/>
          <w:sz w:val="32"/>
          <w:szCs w:val="40"/>
          <w:lang w:val="en-US" w:eastAsia="zh-CN" w:bidi="ar-SA"/>
        </w:rPr>
        <w:t>九、</w:t>
      </w:r>
      <w:r>
        <w:rPr>
          <w:rFonts w:hint="eastAsia" w:ascii="Times New Roman" w:hAnsi="Times New Roman" w:eastAsia="黑体" w:cs="黑体"/>
          <w:b w:val="0"/>
          <w:bCs w:val="0"/>
          <w:sz w:val="32"/>
          <w:szCs w:val="40"/>
        </w:rPr>
        <w:t>需要说明的问题</w:t>
      </w:r>
    </w:p>
    <w:p w14:paraId="341C6F70">
      <w:pPr>
        <w:keepNext w:val="0"/>
        <w:keepLines w:val="0"/>
        <w:pageBreakBefore w:val="0"/>
        <w:widowControl w:val="0"/>
        <w:numPr>
          <w:ilvl w:val="0"/>
          <w:numId w:val="0"/>
        </w:numPr>
        <w:kinsoku/>
        <w:wordWrap/>
        <w:overflowPunct/>
        <w:topLinePunct w:val="0"/>
        <w:autoSpaceDE/>
        <w:autoSpaceDN/>
        <w:bidi w:val="0"/>
        <w:snapToGrid/>
        <w:spacing w:line="576" w:lineRule="exact"/>
        <w:ind w:firstLine="640" w:firstLineChars="200"/>
        <w:textAlignment w:val="auto"/>
        <w:rPr>
          <w:rFonts w:hint="default" w:ascii="Times New Roman" w:hAnsi="Times New Roman" w:eastAsia="宋体" w:cs="宋体"/>
          <w:b/>
          <w:bCs/>
          <w:sz w:val="32"/>
          <w:szCs w:val="40"/>
          <w:lang w:val="en-US" w:eastAsia="zh-CN"/>
        </w:rPr>
      </w:pPr>
      <w:r>
        <w:rPr>
          <w:rFonts w:hint="eastAsia" w:ascii="Times New Roman" w:hAnsi="Times New Roman" w:eastAsia="仿宋" w:cs="仿宋"/>
          <w:sz w:val="32"/>
          <w:szCs w:val="40"/>
          <w:lang w:val="en-US" w:eastAsia="zh-CN"/>
        </w:rPr>
        <w:t>无</w:t>
      </w:r>
    </w:p>
    <w:p w14:paraId="7DEA3F33">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default" w:ascii="Times New Roman" w:hAnsi="Times New Roman" w:eastAsia="黑体" w:cs="黑体"/>
          <w:b w:val="0"/>
          <w:bCs w:val="0"/>
          <w:sz w:val="32"/>
          <w:szCs w:val="40"/>
          <w:lang w:val="en-US" w:eastAsia="zh-CN"/>
        </w:rPr>
      </w:pPr>
      <w:r>
        <w:rPr>
          <w:rFonts w:hint="eastAsia" w:ascii="Times New Roman" w:hAnsi="Times New Roman" w:eastAsia="黑体" w:cs="黑体"/>
          <w:b w:val="0"/>
          <w:bCs w:val="0"/>
          <w:sz w:val="32"/>
          <w:szCs w:val="40"/>
          <w:lang w:val="en-US" w:eastAsia="zh-CN"/>
        </w:rPr>
        <w:t>十</w:t>
      </w:r>
      <w:r>
        <w:rPr>
          <w:rFonts w:hint="eastAsia" w:ascii="Times New Roman" w:hAnsi="Times New Roman" w:eastAsia="黑体" w:cs="黑体"/>
          <w:b w:val="0"/>
          <w:bCs w:val="0"/>
          <w:sz w:val="32"/>
          <w:szCs w:val="40"/>
          <w:lang w:eastAsia="zh-CN"/>
        </w:rPr>
        <w:t>、附件</w:t>
      </w:r>
    </w:p>
    <w:p w14:paraId="0066444C">
      <w:pPr>
        <w:keepNext w:val="0"/>
        <w:keepLines w:val="0"/>
        <w:pageBreakBefore w:val="0"/>
        <w:widowControl w:val="0"/>
        <w:kinsoku/>
        <w:wordWrap/>
        <w:overflowPunct/>
        <w:topLinePunct w:val="0"/>
        <w:autoSpaceDE/>
        <w:autoSpaceDN/>
        <w:bidi w:val="0"/>
        <w:snapToGrid/>
        <w:spacing w:line="576" w:lineRule="exact"/>
        <w:ind w:firstLine="640" w:firstLineChars="200"/>
        <w:textAlignment w:val="auto"/>
        <w:rPr>
          <w:rFonts w:hint="eastAsia" w:ascii="Times New Roman" w:hAnsi="Times New Roman" w:eastAsia="黑体" w:cs="黑体"/>
          <w:b w:val="0"/>
          <w:bCs w:val="0"/>
          <w:sz w:val="32"/>
          <w:szCs w:val="40"/>
          <w:lang w:eastAsia="zh-CN"/>
        </w:rPr>
      </w:pPr>
      <w:r>
        <w:rPr>
          <w:rFonts w:hint="eastAsia" w:eastAsia="仿宋_GB2312" w:cs="仿宋_GB2312"/>
          <w:sz w:val="32"/>
          <w:szCs w:val="32"/>
          <w:lang w:val="en-US" w:eastAsia="zh-CN"/>
        </w:rPr>
        <w:t>附件一：</w:t>
      </w:r>
      <w:r>
        <w:rPr>
          <w:rFonts w:hint="eastAsia" w:ascii="Times New Roman" w:hAnsi="Times New Roman" w:eastAsia="仿宋_GB2312" w:cs="仿宋_GB2312"/>
          <w:sz w:val="32"/>
          <w:szCs w:val="32"/>
          <w:lang w:val="en-US" w:eastAsia="zh-CN"/>
        </w:rPr>
        <w:t>天水市麦积区市场监督管理局2024年度食品快检项目支出绩效自评表</w:t>
      </w:r>
    </w:p>
    <w:p w14:paraId="15318530">
      <w:pPr>
        <w:keepNext w:val="0"/>
        <w:keepLines w:val="0"/>
        <w:pageBreakBefore w:val="0"/>
        <w:kinsoku/>
        <w:wordWrap/>
        <w:overflowPunct/>
        <w:topLinePunct w:val="0"/>
        <w:autoSpaceDE/>
        <w:autoSpaceDN/>
        <w:bidi w:val="0"/>
        <w:snapToGrid/>
        <w:spacing w:line="576" w:lineRule="exact"/>
        <w:textAlignment w:val="auto"/>
        <w:rPr>
          <w:rFonts w:hint="eastAsia" w:ascii="Times New Roman" w:hAnsi="Times New Roman" w:eastAsia="仿宋" w:cs="仿宋"/>
          <w:sz w:val="32"/>
          <w:szCs w:val="40"/>
        </w:rPr>
      </w:pPr>
    </w:p>
    <w:p w14:paraId="09057558">
      <w:pPr>
        <w:keepNext w:val="0"/>
        <w:keepLines w:val="0"/>
        <w:pageBreakBefore w:val="0"/>
        <w:kinsoku/>
        <w:wordWrap/>
        <w:overflowPunct/>
        <w:topLinePunct w:val="0"/>
        <w:autoSpaceDE/>
        <w:autoSpaceDN/>
        <w:bidi w:val="0"/>
        <w:snapToGrid/>
        <w:spacing w:line="576" w:lineRule="exact"/>
        <w:textAlignment w:val="auto"/>
        <w:rPr>
          <w:rFonts w:ascii="Times New Roman" w:hAnsi="Times New Roman"/>
        </w:rPr>
      </w:pPr>
    </w:p>
    <w:sectPr>
      <w:footerReference r:id="rId4" w:type="default"/>
      <w:pgSz w:w="11906" w:h="16838"/>
      <w:pgMar w:top="2041" w:right="1531" w:bottom="2041" w:left="153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CAE6E">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4BB0D">
    <w:pPr>
      <w:pStyle w:val="7"/>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F62A49">
                          <w:pPr>
                            <w:pStyle w:val="7"/>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F62A49">
                    <w:pPr>
                      <w:pStyle w:val="7"/>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C30310"/>
    <w:multiLevelType w:val="singleLevel"/>
    <w:tmpl w:val="9FC3031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E6884"/>
    <w:rsid w:val="0257286E"/>
    <w:rsid w:val="09723EBB"/>
    <w:rsid w:val="09DE7DA1"/>
    <w:rsid w:val="10B169D0"/>
    <w:rsid w:val="11447D80"/>
    <w:rsid w:val="11E308BB"/>
    <w:rsid w:val="12A65A82"/>
    <w:rsid w:val="130F3E82"/>
    <w:rsid w:val="17F6116D"/>
    <w:rsid w:val="19A6519F"/>
    <w:rsid w:val="1CA218C3"/>
    <w:rsid w:val="1CDA656E"/>
    <w:rsid w:val="209912A0"/>
    <w:rsid w:val="20AA6F98"/>
    <w:rsid w:val="21422F6E"/>
    <w:rsid w:val="25AD3A3E"/>
    <w:rsid w:val="260A527D"/>
    <w:rsid w:val="2B8A1EA0"/>
    <w:rsid w:val="2E743B6E"/>
    <w:rsid w:val="31C51E84"/>
    <w:rsid w:val="34E15227"/>
    <w:rsid w:val="37986D8E"/>
    <w:rsid w:val="39074158"/>
    <w:rsid w:val="39203900"/>
    <w:rsid w:val="3A86670D"/>
    <w:rsid w:val="3B834499"/>
    <w:rsid w:val="3BF43823"/>
    <w:rsid w:val="3F2849C3"/>
    <w:rsid w:val="42FD2868"/>
    <w:rsid w:val="43C83469"/>
    <w:rsid w:val="48B45401"/>
    <w:rsid w:val="4F9D5D96"/>
    <w:rsid w:val="50923421"/>
    <w:rsid w:val="51735A06"/>
    <w:rsid w:val="51CB0999"/>
    <w:rsid w:val="51EB659B"/>
    <w:rsid w:val="534E30A1"/>
    <w:rsid w:val="560E52F8"/>
    <w:rsid w:val="567E30C8"/>
    <w:rsid w:val="591F53C6"/>
    <w:rsid w:val="5BEF152C"/>
    <w:rsid w:val="5D197554"/>
    <w:rsid w:val="5D6412D1"/>
    <w:rsid w:val="5F0A5A63"/>
    <w:rsid w:val="5F805B57"/>
    <w:rsid w:val="619F774C"/>
    <w:rsid w:val="6974326C"/>
    <w:rsid w:val="6D08089B"/>
    <w:rsid w:val="7270316B"/>
    <w:rsid w:val="72D00C47"/>
    <w:rsid w:val="7431692A"/>
    <w:rsid w:val="77626DFA"/>
    <w:rsid w:val="7C172844"/>
    <w:rsid w:val="7CED3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 Spacing"/>
    <w:qFormat/>
    <w:uiPriority w:val="1"/>
    <w:pPr>
      <w:widowControl w:val="0"/>
      <w:ind w:firstLine="600" w:firstLineChars="200"/>
      <w:jc w:val="both"/>
    </w:pPr>
    <w:rPr>
      <w:rFonts w:ascii="Calibri" w:hAnsi="Calibri" w:eastAsia="仿宋_GB2312" w:cs="黑体"/>
      <w:kern w:val="2"/>
      <w:sz w:val="28"/>
      <w:szCs w:val="22"/>
      <w:lang w:val="en-US" w:eastAsia="zh-CN" w:bidi="ar-SA"/>
    </w:rPr>
  </w:style>
  <w:style w:type="paragraph" w:styleId="5">
    <w:name w:val="Body Text"/>
    <w:basedOn w:val="1"/>
    <w:next w:val="6"/>
    <w:unhideWhenUsed/>
    <w:qFormat/>
    <w:uiPriority w:val="99"/>
    <w:pPr>
      <w:spacing w:after="120"/>
    </w:pPr>
  </w:style>
  <w:style w:type="paragraph" w:styleId="6">
    <w:name w:val="toc 5"/>
    <w:basedOn w:val="1"/>
    <w:next w:val="1"/>
    <w:unhideWhenUsed/>
    <w:qFormat/>
    <w:uiPriority w:val="39"/>
    <w:pPr>
      <w:spacing w:line="600" w:lineRule="exact"/>
      <w:ind w:firstLine="720" w:firstLineChars="200"/>
    </w:pPr>
    <w:rPr>
      <w:rFonts w:ascii="Calibri" w:hAnsi="Calibri"/>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12">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3">
    <w:name w:val="闻政-正文二级标题"/>
    <w:basedOn w:val="2"/>
    <w:next w:val="12"/>
    <w:qFormat/>
    <w:uiPriority w:val="3"/>
    <w:pPr>
      <w:spacing w:before="0" w:after="0" w:line="500" w:lineRule="exact"/>
      <w:ind w:firstLine="0" w:firstLineChars="0"/>
      <w:jc w:val="left"/>
    </w:pPr>
    <w:rPr>
      <w:rFonts w:ascii="Times New Roman" w:hAnsi="Times New Roman" w:eastAsia="宋体"/>
      <w:b w:val="0"/>
      <w:bCs w:val="0"/>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1576</Words>
  <Characters>1613</Characters>
  <Lines>0</Lines>
  <Paragraphs>0</Paragraphs>
  <TotalTime>4</TotalTime>
  <ScaleCrop>false</ScaleCrop>
  <LinksUpToDate>false</LinksUpToDate>
  <CharactersWithSpaces>1653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2025-07-24T00:42:00Z</dcterms:created>
  <dc:creator>Administrator</dc:creator>
  <cp:lastModifiedBy>镜夜天</cp:lastModifiedBy>
  <dcterms:modified xsi:type="dcterms:W3CDTF">2025-09-01T09:44:35Z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eyJoZGlkIjoiYzcxNTZhNjc5Zjc5NTI0NzZhYTdjYTg4NDE3ZThkMmMiLCJ1c2VySWQiOiIzMzQ4NDY3NDMifQ==</vt:lpwstr>
  </property>
  <property fmtid="{D5CDD505-2E9C-101B-9397-08002B2CF9AE}" pid="4" name="ICV">
    <vt:lpwstr>61A243710CB14ADC85FE129E69A60E9A_13</vt:lpwstr>
  </property>
</Properties>
</file>