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F089">
      <w:pPr>
        <w:spacing w:line="700" w:lineRule="exact"/>
        <w:jc w:val="both"/>
        <w:rPr>
          <w:rFonts w:hint="eastAsia" w:ascii="Times New Roman" w:hAnsi="Times New Roman" w:eastAsia="方正小标宋简体"/>
          <w:bCs/>
          <w:sz w:val="44"/>
          <w:szCs w:val="44"/>
          <w:highlight w:val="none"/>
          <w:lang w:val="en-US" w:eastAsia="zh-CN"/>
        </w:rPr>
      </w:pPr>
      <w:bookmarkStart w:id="0" w:name="_GoBack"/>
      <w:bookmarkEnd w:id="0"/>
    </w:p>
    <w:p w14:paraId="7C5C0F69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  <w:highlight w:val="none"/>
          <w:lang w:val="en-US" w:eastAsia="zh-CN"/>
        </w:rPr>
        <w:t>食品安全抽样检验费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项目支出绩效</w:t>
      </w:r>
    </w:p>
    <w:p w14:paraId="7319FC50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自评报告</w:t>
      </w:r>
    </w:p>
    <w:p w14:paraId="17A753C4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A88A5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694460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0462F21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34A17B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19CA60F9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28F1F3EB">
      <w:pPr>
        <w:ind w:firstLine="320" w:firstLineChars="1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评价类型：项目实施过程评价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  项目完成结果评价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</w:p>
    <w:p w14:paraId="32C024D3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项目名称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食品安全抽样检验费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</w:p>
    <w:p w14:paraId="3EAF9D97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项目单位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  </w:t>
      </w:r>
    </w:p>
    <w:p w14:paraId="40584E07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  </w:t>
      </w:r>
    </w:p>
    <w:p w14:paraId="1C4A8575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评价方式：自评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/>
          <w:sz w:val="32"/>
          <w:szCs w:val="32"/>
        </w:rPr>
        <w:t>/评价□/再评价□</w:t>
      </w:r>
    </w:p>
    <w:p w14:paraId="4B9672CA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评价机构：部门（单位）评价组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/>
          <w:sz w:val="32"/>
          <w:szCs w:val="32"/>
        </w:rPr>
        <w:t xml:space="preserve">/第三方机构□   </w:t>
      </w:r>
    </w:p>
    <w:p w14:paraId="10DAB116">
      <w:pPr>
        <w:spacing w:line="348" w:lineRule="auto"/>
        <w:jc w:val="both"/>
        <w:rPr>
          <w:rFonts w:hint="eastAsia" w:ascii="Times New Roman" w:hAnsi="Times New Roman" w:eastAsia="仿宋_GB2312"/>
          <w:sz w:val="32"/>
          <w:szCs w:val="32"/>
        </w:rPr>
      </w:pPr>
    </w:p>
    <w:p w14:paraId="50F018DD">
      <w:pPr>
        <w:spacing w:line="348" w:lineRule="auto"/>
        <w:ind w:firstLine="1600" w:firstLineChars="500"/>
        <w:jc w:val="both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报告日期：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/>
          <w:sz w:val="32"/>
          <w:szCs w:val="32"/>
        </w:rPr>
        <w:t xml:space="preserve"> 年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 xml:space="preserve"> 月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/>
          <w:sz w:val="32"/>
          <w:szCs w:val="32"/>
        </w:rPr>
        <w:t xml:space="preserve"> 日</w:t>
      </w:r>
    </w:p>
    <w:p w14:paraId="087548DA">
      <w:pPr>
        <w:snapToGrid w:val="0"/>
        <w:spacing w:line="700" w:lineRule="exact"/>
        <w:jc w:val="both"/>
        <w:rPr>
          <w:rFonts w:hint="eastAsia" w:ascii="Times New Roman" w:hAnsi="Times New Roman" w:eastAsia="方正小标宋简体"/>
          <w:sz w:val="44"/>
          <w:szCs w:val="44"/>
        </w:rPr>
      </w:pPr>
    </w:p>
    <w:p w14:paraId="21BE4A25">
      <w:pPr>
        <w:snapToGrid w:val="0"/>
        <w:spacing w:line="70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 w14:paraId="018CDA78">
      <w:pPr>
        <w:snapToGrid w:val="0"/>
        <w:spacing w:line="70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 w14:paraId="43BF4DB5">
      <w:pPr>
        <w:snapToGrid w:val="0"/>
        <w:spacing w:line="70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1417" w:gutter="0"/>
          <w:paperSrc/>
          <w:pgNumType w:fmt="decimal"/>
          <w:cols w:space="0" w:num="1"/>
          <w:rtlGutter w:val="0"/>
          <w:docGrid w:type="lines" w:linePitch="312" w:charSpace="0"/>
        </w:sectPr>
      </w:pPr>
    </w:p>
    <w:p w14:paraId="2B46D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项目支出绩效自评报告</w:t>
      </w:r>
    </w:p>
    <w:p w14:paraId="3FE03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Times New Roman" w:hAnsi="Times New Roman" w:eastAsia="黑体"/>
          <w:sz w:val="28"/>
          <w:szCs w:val="28"/>
        </w:rPr>
      </w:pPr>
    </w:p>
    <w:p w14:paraId="40CDC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黑体" w:cs="Times New Roman"/>
          <w:b w:val="0"/>
          <w:bCs w:val="0"/>
          <w:sz w:val="32"/>
          <w:szCs w:val="32"/>
        </w:rPr>
        <w:t>一、项目基本情况</w:t>
      </w:r>
    </w:p>
    <w:p w14:paraId="355B8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（一）项目立项背景</w:t>
      </w:r>
    </w:p>
    <w:p w14:paraId="364DD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为提高全区食品安全水平，根据《中华人民共和国食品安全法》《食品安全抽样检验管理办法》等法律法规，《天水市食品药品安全委员会办公室 天水市市场监督管理局关于印发2024年县区级食品安全监督抽检计划的通知》（天食药安委办发〔2024〕4号）及《天水市麦积区食品药品安全委员会办公室 天水市麦积区市场监督管理局关于印发天水市麦积区2024年食品安全抽检计划的通知》（天麦食药安委办发〔2024〕5号），结合我区实际，特实施本项目。</w:t>
      </w:r>
    </w:p>
    <w:p w14:paraId="6E3EA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（二）项目预算安排及使用情况</w:t>
      </w:r>
    </w:p>
    <w:p w14:paraId="6DB41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项目年初预算资金为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50万元，资金来源为财政拨款，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实际到位资金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0万元。截至目前区财政拨付2024年食品抽检经费2344511元，已完成支付，严格按照预算执行，项目资金全部用于食品安全抽样检验。</w:t>
      </w:r>
    </w:p>
    <w:p w14:paraId="76A5FA37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（三）项目计划内容及实施情况</w:t>
      </w:r>
    </w:p>
    <w:p w14:paraId="08513D40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通过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食品安全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抽样检验，及时发现了不合格食品，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有效净化了食品市场，消除安全隐患，保障人民群众舌尖上的安全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。</w:t>
      </w:r>
    </w:p>
    <w:p w14:paraId="28D032FD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（四）项目组织管理情况</w:t>
      </w:r>
    </w:p>
    <w:p w14:paraId="4747CF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建立绩效管理制度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明确绩效管理的目标、原则、内容、方法和程序，建立绩效管理的组织体系和工作机制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确保绩效管理工作的顺利开展。</w:t>
      </w:r>
    </w:p>
    <w:p w14:paraId="3B447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二、项目绩效目标</w:t>
      </w:r>
    </w:p>
    <w:p w14:paraId="3C034E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仿宋_GB2312" w:cs="仿宋_GB2312"/>
          <w:sz w:val="32"/>
          <w:szCs w:val="32"/>
        </w:rPr>
        <w:t>抽检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各类食品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2225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批次，抽检任务完成率100%。其中合格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2158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批次，不合格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67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批次，合格率为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96.99</w:t>
      </w:r>
      <w:r>
        <w:rPr>
          <w:rFonts w:hint="eastAsia" w:ascii="Times New Roman" w:hAnsi="Times New Roman" w:eastAsia="仿宋_GB2312" w:cs="仿宋_GB2312"/>
          <w:sz w:val="32"/>
          <w:szCs w:val="32"/>
        </w:rPr>
        <w:t>%。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通过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食品安全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抽样检验，及时发现了不合格食品，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有效净化了食品市场，消除安全隐患，保障人民群众舌尖上的安全。</w:t>
      </w:r>
    </w:p>
    <w:p w14:paraId="2DE77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</w:rPr>
        <w:t>、绩效评价工作情况</w:t>
      </w:r>
    </w:p>
    <w:p w14:paraId="0E29C328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（一）绩效评价目的</w:t>
      </w:r>
    </w:p>
    <w:p w14:paraId="1B76AA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96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加强资金监管，提高资金使用效率，评估食品安全抽样检验资金使用效益，验证项目是否实现“早发现、早预警、早处置”目标，为下一年度项目实施提供经验和教训，进一步提高项目管理水平，促进项目可持续发展。</w:t>
      </w:r>
    </w:p>
    <w:p w14:paraId="41D2D8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（二）绩效评价工作过程</w:t>
      </w:r>
    </w:p>
    <w:p w14:paraId="7B9B39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主要包括前期准备、组织实施和分析评价等。</w:t>
      </w:r>
    </w:p>
    <w:p w14:paraId="5ED23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四、评价基本情况</w:t>
      </w:r>
    </w:p>
    <w:p w14:paraId="3656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（一）评价目的</w:t>
      </w:r>
    </w:p>
    <w:p w14:paraId="7AF45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通过评价项目资金使用效率、产出成果及社会效益，总结经验，为后续项目优化提供依据，提升财政资金在食品安全监管中的投入效益。</w:t>
      </w:r>
    </w:p>
    <w:p w14:paraId="38AE3AF0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（二）评价对象与范围</w:t>
      </w:r>
    </w:p>
    <w:p w14:paraId="1C607A4D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涵盖项目全部资金支出，以及项目立项、预算编制与执行、项目产出和效益等各个环节。</w:t>
      </w:r>
    </w:p>
    <w:p w14:paraId="61A71724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（三）评价依据</w:t>
      </w:r>
    </w:p>
    <w:p w14:paraId="4EBB2BB6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《中华人民共和国食品安全法》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《食品安全抽样检验管理办法》等法律法规，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天食药安委办发〔2024〕4号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天麦食药安委办发〔2024〕5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。</w:t>
      </w:r>
    </w:p>
    <w:p w14:paraId="7098B6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（四）评价原则、评价方法</w:t>
      </w:r>
    </w:p>
    <w:p w14:paraId="47FB0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遵循科学规范、公开公正、分级分类、绩效相关的原则。</w:t>
      </w:r>
    </w:p>
    <w:p w14:paraId="041FBB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（五）绩效评价指标体系</w:t>
      </w:r>
    </w:p>
    <w:p w14:paraId="170266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建立健全绩效评价指标体系。</w:t>
      </w:r>
    </w:p>
    <w:p w14:paraId="49F32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（六）评价人员组成</w:t>
      </w:r>
    </w:p>
    <w:p w14:paraId="28326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领导小组组成人员及主要职责：组长张锦涛（区市场监管局党组成员）、副组长安宗敏（区市场监管局办公室主任）、成员：王小艳（会计）、杨洁（出纳）、卢美晨（办公室人员），领导小组下设办公室，安宗敏同志负责推进预算绩效管理工作的组织、协调与推动。</w:t>
      </w:r>
    </w:p>
    <w:p w14:paraId="099335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（七）绩效评价工作过程</w:t>
      </w:r>
    </w:p>
    <w:p w14:paraId="4C7CF3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</w:rPr>
      </w:pP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通过</w:t>
      </w:r>
      <w:r>
        <w:rPr>
          <w:rFonts w:hint="eastAsia" w:ascii="Times New Roman" w:hAnsi="Times New Roman" w:eastAsia="仿宋" w:cs="仿宋"/>
          <w:sz w:val="32"/>
          <w:szCs w:val="40"/>
        </w:rPr>
        <w:t>前期准备、非现场评价、现场评价、综合分析、评价报告撰写等评价工作过程。</w:t>
      </w:r>
    </w:p>
    <w:p w14:paraId="779BF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五、评价结论及分析</w:t>
      </w:r>
    </w:p>
    <w:p w14:paraId="417E5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（一）评分结果</w:t>
      </w:r>
    </w:p>
    <w:p w14:paraId="1780C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采用100分制，项目总得分为90分，评价等级为“优”。</w:t>
      </w:r>
    </w:p>
    <w:p w14:paraId="218032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（二）主要结论</w:t>
      </w:r>
    </w:p>
    <w:p w14:paraId="2171D2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本项目资金使用经济高效，抽检覆盖全面，不合格食品处置及时，超额完成预设目标，有效发挥了“抽检－处置－监管”的闭环作用。</w:t>
      </w:r>
    </w:p>
    <w:p w14:paraId="4F079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六、项目主要经验及做法</w:t>
      </w:r>
    </w:p>
    <w:p w14:paraId="62F4C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华文仿宋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华文仿宋"/>
          <w:color w:val="000000"/>
          <w:sz w:val="32"/>
          <w:szCs w:val="32"/>
        </w:rPr>
        <w:t>以食品安全抽样检验为抓手，以发现食品安全问题为导向，强化日常检查与监督抽检的结合，通过监督抽检、风险监测、信息发布、核查处置，及时发现和处置食品安全问题，有效防控苗头性、系统性、区域性食品安全风险，督促食品生产经营单位落实主体责任，保障全区食品安全。</w:t>
      </w:r>
    </w:p>
    <w:p w14:paraId="7DDFB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七、存在的问题及原因分析</w:t>
      </w:r>
    </w:p>
    <w:p w14:paraId="56259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部分食品经营者对食品安全抽样检验存在抵触心理，工作难度较大。</w:t>
      </w:r>
    </w:p>
    <w:p w14:paraId="51716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八、有关建议</w:t>
      </w:r>
    </w:p>
    <w:p w14:paraId="6854AC36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加强食品安全抽样检验的宣传力度，提升食品经营者的食品安全意识，动员其积极配合工作。</w:t>
      </w:r>
    </w:p>
    <w:p w14:paraId="78CAF0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九、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需要说明的问题</w:t>
      </w:r>
    </w:p>
    <w:p w14:paraId="680134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  <w:t>无</w:t>
      </w:r>
    </w:p>
    <w:p w14:paraId="78A43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十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、附件</w:t>
      </w:r>
    </w:p>
    <w:p w14:paraId="444EDBEC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附件一：天水市麦积区市场监督管理局2024年度食品快检项目支出绩效自评表</w:t>
      </w:r>
    </w:p>
    <w:sectPr>
      <w:footerReference r:id="rId4" w:type="default"/>
      <w:pgSz w:w="11906" w:h="16838"/>
      <w:pgMar w:top="2041" w:right="1531" w:bottom="2041" w:left="1531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CAE6E"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03C5A">
    <w:pPr>
      <w:pStyle w:val="6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CCB601">
                          <w:pPr>
                            <w:pStyle w:val="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CCB601">
                    <w:pPr>
                      <w:pStyle w:val="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66C11"/>
    <w:rsid w:val="0C1C27C0"/>
    <w:rsid w:val="11396DBA"/>
    <w:rsid w:val="152813B6"/>
    <w:rsid w:val="309724BA"/>
    <w:rsid w:val="320A1245"/>
    <w:rsid w:val="3458088E"/>
    <w:rsid w:val="36BA5D2F"/>
    <w:rsid w:val="3787296A"/>
    <w:rsid w:val="41B76B7F"/>
    <w:rsid w:val="43D45524"/>
    <w:rsid w:val="4C522088"/>
    <w:rsid w:val="4EDD6A90"/>
    <w:rsid w:val="52185D70"/>
    <w:rsid w:val="53F65A75"/>
    <w:rsid w:val="55CC4CE0"/>
    <w:rsid w:val="5B091225"/>
    <w:rsid w:val="5B52234C"/>
    <w:rsid w:val="5C8916E0"/>
    <w:rsid w:val="5CAB1B1C"/>
    <w:rsid w:val="5EE72823"/>
    <w:rsid w:val="5FF1580E"/>
    <w:rsid w:val="63A51861"/>
    <w:rsid w:val="68D00B18"/>
    <w:rsid w:val="6ACF2E50"/>
    <w:rsid w:val="716916CA"/>
    <w:rsid w:val="7935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unhideWhenUsed/>
    <w:qFormat/>
    <w:uiPriority w:val="39"/>
    <w:pPr>
      <w:spacing w:line="600" w:lineRule="exact"/>
      <w:ind w:firstLine="720" w:firstLineChars="200"/>
    </w:pPr>
    <w:rPr>
      <w:rFonts w:ascii="Calibri" w:hAnsi="Calibri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Body Text Indent 21"/>
    <w:basedOn w:val="1"/>
    <w:qFormat/>
    <w:uiPriority w:val="0"/>
    <w:pPr>
      <w:spacing w:line="480" w:lineRule="auto"/>
      <w:ind w:left="420" w:leftChars="200"/>
    </w:pPr>
    <w:rPr>
      <w:rFonts w:ascii="Calibri" w:hAnsi="Calibri" w:eastAsia="宋体" w:cs="Times New Roman"/>
    </w:rPr>
  </w:style>
  <w:style w:type="paragraph" w:customStyle="1" w:styleId="12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1653</Words>
  <Characters>1708</Characters>
  <Lines>0</Lines>
  <Paragraphs>0</Paragraphs>
  <TotalTime>6</TotalTime>
  <ScaleCrop>false</ScaleCrop>
  <LinksUpToDate>false</LinksUpToDate>
  <CharactersWithSpaces>1754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2025-07-24T02:27:00Z</dcterms:created>
  <dc:creator>Administrator</dc:creator>
  <cp:lastModifiedBy>镜夜天</cp:lastModifiedBy>
  <dcterms:modified xsi:type="dcterms:W3CDTF">2025-09-01T09:45:07Z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eyJoZGlkIjoiYzcxNTZhNjc5Zjc5NTI0NzZhYTdjYTg4NDE3ZThkMmMiLCJ1c2VySWQiOiIzMzQ4NDY3NDMifQ==</vt:lpwstr>
  </property>
  <property fmtid="{D5CDD505-2E9C-101B-9397-08002B2CF9AE}" pid="4" name="ICV">
    <vt:lpwstr>4FDED4E002A2473092991571614554ED_13</vt:lpwstr>
  </property>
</Properties>
</file>