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300511">
      <w:pPr>
        <w:pStyle w:val="3"/>
        <w:bidi w:val="0"/>
        <w:rPr>
          <w:rFonts w:hint="eastAsia" w:ascii="Times New Roman" w:hAnsi="Times New Roman"/>
        </w:rPr>
      </w:pPr>
    </w:p>
    <w:p w14:paraId="7319FC50">
      <w:pPr>
        <w:spacing w:line="700" w:lineRule="exact"/>
        <w:jc w:val="center"/>
        <w:rPr>
          <w:rFonts w:hint="eastAsia" w:ascii="Times New Roman" w:hAnsi="Times New Roman" w:eastAsia="方正小标宋简体"/>
          <w:bCs/>
          <w:sz w:val="44"/>
          <w:szCs w:val="44"/>
        </w:rPr>
      </w:pPr>
      <w:r>
        <w:rPr>
          <w:rFonts w:hint="eastAsia" w:ascii="Times New Roman" w:hAnsi="Times New Roman" w:eastAsia="方正小标宋简体" w:cs="Times New Roman"/>
          <w:bCs/>
          <w:sz w:val="44"/>
          <w:szCs w:val="44"/>
          <w:lang w:val="en-US" w:eastAsia="zh-CN"/>
        </w:rPr>
        <w:t>食品药品远程食品监控专网、执法终端流量使用费</w:t>
      </w:r>
      <w:r>
        <w:rPr>
          <w:rFonts w:hint="eastAsia" w:ascii="Times New Roman" w:hAnsi="Times New Roman" w:eastAsia="方正小标宋简体"/>
          <w:bCs/>
          <w:sz w:val="44"/>
          <w:szCs w:val="44"/>
        </w:rPr>
        <w:t>项目支出绩效自评报告</w:t>
      </w:r>
    </w:p>
    <w:p w14:paraId="17A753C4">
      <w:pPr>
        <w:spacing w:line="348" w:lineRule="auto"/>
        <w:jc w:val="center"/>
        <w:rPr>
          <w:rFonts w:hint="eastAsia" w:ascii="Times New Roman" w:hAnsi="Times New Roman" w:eastAsia="楷体_GB2312"/>
          <w:bCs/>
          <w:szCs w:val="32"/>
        </w:rPr>
      </w:pPr>
    </w:p>
    <w:p w14:paraId="5A88A581">
      <w:pPr>
        <w:spacing w:line="348" w:lineRule="auto"/>
        <w:jc w:val="center"/>
        <w:rPr>
          <w:rFonts w:hint="eastAsia" w:ascii="Times New Roman" w:hAnsi="Times New Roman" w:eastAsia="楷体_GB2312"/>
          <w:bCs/>
          <w:szCs w:val="32"/>
        </w:rPr>
      </w:pPr>
    </w:p>
    <w:p w14:paraId="69446081">
      <w:pPr>
        <w:spacing w:line="348" w:lineRule="auto"/>
        <w:jc w:val="center"/>
        <w:rPr>
          <w:rFonts w:hint="eastAsia" w:ascii="Times New Roman" w:hAnsi="Times New Roman" w:eastAsia="楷体_GB2312"/>
          <w:bCs/>
          <w:szCs w:val="32"/>
        </w:rPr>
      </w:pPr>
    </w:p>
    <w:p w14:paraId="0462F21A">
      <w:pPr>
        <w:spacing w:line="348" w:lineRule="auto"/>
        <w:jc w:val="center"/>
        <w:rPr>
          <w:rFonts w:hint="eastAsia" w:ascii="Times New Roman" w:hAnsi="Times New Roman" w:eastAsia="楷体_GB2312"/>
          <w:bCs/>
          <w:szCs w:val="32"/>
        </w:rPr>
      </w:pPr>
    </w:p>
    <w:p w14:paraId="534A17BA">
      <w:pPr>
        <w:spacing w:line="348" w:lineRule="auto"/>
        <w:jc w:val="center"/>
        <w:rPr>
          <w:rFonts w:hint="eastAsia" w:ascii="Times New Roman" w:hAnsi="Times New Roman" w:eastAsia="楷体_GB2312"/>
          <w:bCs/>
          <w:szCs w:val="32"/>
        </w:rPr>
      </w:pPr>
    </w:p>
    <w:p w14:paraId="19CA60F9">
      <w:pPr>
        <w:spacing w:line="348" w:lineRule="auto"/>
        <w:jc w:val="center"/>
        <w:rPr>
          <w:rFonts w:hint="eastAsia" w:ascii="Times New Roman" w:hAnsi="Times New Roman" w:eastAsia="楷体_GB2312"/>
          <w:bCs/>
          <w:szCs w:val="32"/>
        </w:rPr>
      </w:pPr>
    </w:p>
    <w:p w14:paraId="28F1F3EB">
      <w:pPr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评价类型：项目实施过程评价□   项目完成结果评价</w:t>
      </w:r>
      <w:r>
        <w:rPr>
          <w:rFonts w:hint="eastAsia" w:ascii="Times New Roman" w:hAnsi="Times New Roman" w:eastAsia="仿宋_GB2312"/>
          <w:sz w:val="32"/>
          <w:szCs w:val="32"/>
        </w:rPr>
        <w:sym w:font="Wingdings 2" w:char="0052"/>
      </w:r>
    </w:p>
    <w:p w14:paraId="32C024D3">
      <w:pPr>
        <w:spacing w:before="156" w:beforeLines="50" w:line="348" w:lineRule="auto"/>
        <w:ind w:firstLine="320" w:firstLineChars="100"/>
        <w:rPr>
          <w:rFonts w:hint="default" w:ascii="Times New Roman" w:hAnsi="Times New Roman" w:eastAsia="仿宋_GB2312"/>
          <w:sz w:val="32"/>
          <w:szCs w:val="32"/>
          <w:u w:val="single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</w:rPr>
        <w:t>项目名称</w:t>
      </w:r>
      <w:r>
        <w:rPr>
          <w:rFonts w:hint="eastAsia" w:ascii="Times New Roman" w:hAnsi="Times New Roman" w:eastAsia="仿宋_GB2312"/>
          <w:sz w:val="32"/>
          <w:szCs w:val="32"/>
          <w:u w:val="single"/>
        </w:rPr>
        <w:t xml:space="preserve"> </w:t>
      </w:r>
      <w:r>
        <w:rPr>
          <w:rFonts w:hint="eastAsia" w:ascii="Times New Roman" w:hAnsi="Times New Roman" w:eastAsia="仿宋_GB2312"/>
          <w:sz w:val="32"/>
          <w:szCs w:val="32"/>
          <w:u w:val="single"/>
          <w:lang w:val="en-US" w:eastAsia="zh-CN"/>
        </w:rPr>
        <w:t>食品药品远程食品监控专网、执法终端流量使用费</w:t>
      </w:r>
      <w:r>
        <w:rPr>
          <w:rFonts w:hint="eastAsia" w:ascii="Times New Roman" w:hAnsi="Times New Roman" w:eastAsia="仿宋_GB2312"/>
          <w:sz w:val="32"/>
          <w:szCs w:val="32"/>
          <w:u w:val="single"/>
        </w:rPr>
        <w:t xml:space="preserve">                          </w:t>
      </w:r>
      <w:r>
        <w:rPr>
          <w:rFonts w:hint="eastAsia" w:ascii="Times New Roman" w:hAnsi="Times New Roman" w:eastAsia="仿宋_GB2312"/>
          <w:sz w:val="32"/>
          <w:szCs w:val="32"/>
          <w:u w:val="single"/>
          <w:lang w:val="en-US" w:eastAsia="zh-CN"/>
        </w:rPr>
        <w:t xml:space="preserve">              </w:t>
      </w:r>
    </w:p>
    <w:p w14:paraId="3EAF9D97">
      <w:pPr>
        <w:spacing w:before="156" w:beforeLines="50" w:line="348" w:lineRule="auto"/>
        <w:ind w:firstLine="320" w:firstLineChars="100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项目单位</w:t>
      </w:r>
      <w:r>
        <w:rPr>
          <w:rFonts w:hint="eastAsia" w:ascii="Times New Roman" w:hAnsi="Times New Roman" w:eastAsia="仿宋_GB2312"/>
          <w:sz w:val="32"/>
          <w:szCs w:val="32"/>
          <w:u w:val="single"/>
        </w:rPr>
        <w:t xml:space="preserve"> </w:t>
      </w:r>
      <w:r>
        <w:rPr>
          <w:rFonts w:hint="eastAsia" w:ascii="Times New Roman" w:hAnsi="Times New Roman" w:eastAsia="仿宋_GB2312"/>
          <w:sz w:val="32"/>
          <w:szCs w:val="32"/>
          <w:u w:val="single"/>
          <w:lang w:val="en-US" w:eastAsia="zh-CN"/>
        </w:rPr>
        <w:t>天水市麦积区市场监督管理局</w:t>
      </w:r>
      <w:r>
        <w:rPr>
          <w:rFonts w:hint="eastAsia" w:ascii="Times New Roman" w:hAnsi="Times New Roman" w:eastAsia="仿宋_GB2312"/>
          <w:sz w:val="32"/>
          <w:szCs w:val="32"/>
          <w:u w:val="single"/>
        </w:rPr>
        <w:t xml:space="preserve">                             </w:t>
      </w:r>
    </w:p>
    <w:p w14:paraId="40584E07">
      <w:pPr>
        <w:spacing w:before="156" w:beforeLines="50" w:line="348" w:lineRule="auto"/>
        <w:ind w:firstLine="320" w:firstLineChars="100"/>
        <w:rPr>
          <w:rFonts w:hint="eastAsia" w:ascii="Times New Roman" w:hAnsi="Times New Roman" w:eastAsia="仿宋_GB2312"/>
          <w:sz w:val="32"/>
          <w:szCs w:val="32"/>
          <w:u w:val="single"/>
        </w:rPr>
      </w:pPr>
      <w:r>
        <w:rPr>
          <w:rFonts w:hint="eastAsia" w:ascii="Times New Roman" w:hAnsi="Times New Roman" w:eastAsia="仿宋_GB2312"/>
          <w:sz w:val="32"/>
          <w:szCs w:val="32"/>
        </w:rPr>
        <w:t>主管部门</w:t>
      </w:r>
      <w:r>
        <w:rPr>
          <w:rFonts w:hint="eastAsia" w:ascii="Times New Roman" w:hAnsi="Times New Roman" w:eastAsia="仿宋_GB2312"/>
          <w:sz w:val="32"/>
          <w:szCs w:val="32"/>
          <w:u w:val="single"/>
        </w:rPr>
        <w:t xml:space="preserve"> </w:t>
      </w:r>
      <w:r>
        <w:rPr>
          <w:rFonts w:hint="eastAsia" w:ascii="Times New Roman" w:hAnsi="Times New Roman" w:eastAsia="仿宋_GB2312"/>
          <w:sz w:val="32"/>
          <w:szCs w:val="32"/>
          <w:u w:val="single"/>
          <w:lang w:val="en-US" w:eastAsia="zh-CN"/>
        </w:rPr>
        <w:t>天水市麦积区市场监督管理局</w:t>
      </w:r>
      <w:r>
        <w:rPr>
          <w:rFonts w:hint="eastAsia" w:ascii="Times New Roman" w:hAnsi="Times New Roman" w:eastAsia="仿宋_GB2312"/>
          <w:sz w:val="32"/>
          <w:szCs w:val="32"/>
          <w:u w:val="single"/>
        </w:rPr>
        <w:t xml:space="preserve">                              </w:t>
      </w:r>
    </w:p>
    <w:p w14:paraId="1C4A8575">
      <w:pPr>
        <w:spacing w:before="156" w:beforeLines="50" w:line="348" w:lineRule="auto"/>
        <w:ind w:firstLine="320" w:firstLineChars="100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评价方式：自评</w:t>
      </w:r>
      <w:r>
        <w:rPr>
          <w:rFonts w:hint="eastAsia" w:ascii="Times New Roman" w:hAnsi="Times New Roman" w:eastAsia="仿宋_GB2312"/>
          <w:sz w:val="32"/>
          <w:szCs w:val="32"/>
        </w:rPr>
        <w:sym w:font="Wingdings 2" w:char="0052"/>
      </w:r>
      <w:r>
        <w:rPr>
          <w:rFonts w:hint="eastAsia" w:ascii="Times New Roman" w:hAnsi="Times New Roman" w:eastAsia="仿宋_GB2312"/>
          <w:sz w:val="32"/>
          <w:szCs w:val="32"/>
        </w:rPr>
        <w:t>/评价□/再评价□</w:t>
      </w:r>
    </w:p>
    <w:p w14:paraId="4B9672CA">
      <w:pPr>
        <w:spacing w:before="156" w:beforeLines="50" w:line="348" w:lineRule="auto"/>
        <w:ind w:firstLine="320" w:firstLineChars="100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评价机构：部门（单位）评价组</w:t>
      </w:r>
      <w:r>
        <w:rPr>
          <w:rFonts w:hint="eastAsia" w:ascii="Times New Roman" w:hAnsi="Times New Roman" w:eastAsia="仿宋_GB2312"/>
          <w:sz w:val="32"/>
          <w:szCs w:val="32"/>
        </w:rPr>
        <w:sym w:font="Wingdings 2" w:char="0052"/>
      </w:r>
      <w:r>
        <w:rPr>
          <w:rFonts w:hint="eastAsia" w:ascii="Times New Roman" w:hAnsi="Times New Roman" w:eastAsia="仿宋_GB2312"/>
          <w:sz w:val="32"/>
          <w:szCs w:val="32"/>
        </w:rPr>
        <w:t xml:space="preserve">/第三方机构□   </w:t>
      </w:r>
    </w:p>
    <w:p w14:paraId="2231396C">
      <w:pPr>
        <w:spacing w:line="348" w:lineRule="auto"/>
        <w:jc w:val="both"/>
        <w:rPr>
          <w:rFonts w:hint="eastAsia" w:ascii="Times New Roman" w:hAnsi="Times New Roman" w:eastAsia="仿宋_GB2312"/>
          <w:sz w:val="32"/>
          <w:szCs w:val="32"/>
        </w:rPr>
      </w:pPr>
    </w:p>
    <w:p w14:paraId="50F018DD">
      <w:pPr>
        <w:spacing w:line="348" w:lineRule="auto"/>
        <w:ind w:firstLine="1280" w:firstLineChars="400"/>
        <w:jc w:val="both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 xml:space="preserve">报告日期： 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2025</w:t>
      </w:r>
      <w:r>
        <w:rPr>
          <w:rFonts w:hint="eastAsia" w:ascii="Times New Roman" w:hAnsi="Times New Roman" w:eastAsia="仿宋_GB2312"/>
          <w:sz w:val="32"/>
          <w:szCs w:val="32"/>
        </w:rPr>
        <w:t xml:space="preserve"> 年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 xml:space="preserve"> 8</w:t>
      </w:r>
      <w:r>
        <w:rPr>
          <w:rFonts w:hint="eastAsia" w:ascii="Times New Roman" w:hAnsi="Times New Roman" w:eastAsia="仿宋_GB2312"/>
          <w:sz w:val="32"/>
          <w:szCs w:val="32"/>
        </w:rPr>
        <w:t xml:space="preserve"> 月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25</w:t>
      </w:r>
      <w:r>
        <w:rPr>
          <w:rFonts w:hint="eastAsia" w:ascii="Times New Roman" w:hAnsi="Times New Roman" w:eastAsia="仿宋_GB2312"/>
          <w:sz w:val="32"/>
          <w:szCs w:val="32"/>
        </w:rPr>
        <w:t xml:space="preserve"> 日</w:t>
      </w:r>
    </w:p>
    <w:p w14:paraId="2DC36C23">
      <w:pPr>
        <w:spacing w:line="348" w:lineRule="auto"/>
        <w:jc w:val="center"/>
        <w:rPr>
          <w:rFonts w:hint="eastAsia" w:ascii="Times New Roman" w:hAnsi="Times New Roman" w:eastAsia="仿宋_GB2312"/>
          <w:sz w:val="28"/>
          <w:szCs w:val="28"/>
        </w:rPr>
      </w:pPr>
    </w:p>
    <w:p w14:paraId="21BE4A25">
      <w:pPr>
        <w:snapToGrid w:val="0"/>
        <w:spacing w:line="700" w:lineRule="exact"/>
        <w:jc w:val="both"/>
        <w:rPr>
          <w:rFonts w:hint="eastAsia" w:ascii="Times New Roman" w:hAnsi="Times New Roman" w:eastAsia="方正小标宋简体"/>
          <w:sz w:val="44"/>
          <w:szCs w:val="44"/>
        </w:rPr>
      </w:pPr>
    </w:p>
    <w:p w14:paraId="6F72F374">
      <w:pPr>
        <w:snapToGrid w:val="0"/>
        <w:spacing w:line="700" w:lineRule="exact"/>
        <w:jc w:val="center"/>
        <w:rPr>
          <w:rFonts w:hint="eastAsia" w:ascii="Times New Roman" w:hAnsi="Times New Roman" w:eastAsia="方正小标宋简体"/>
          <w:sz w:val="44"/>
          <w:szCs w:val="44"/>
        </w:rPr>
        <w:sectPr>
          <w:footerReference r:id="rId3" w:type="default"/>
          <w:pgSz w:w="11906" w:h="16838"/>
          <w:pgMar w:top="2098" w:right="1474" w:bottom="1984" w:left="1587" w:header="851" w:footer="1417" w:gutter="0"/>
          <w:pgNumType w:fmt="decimal"/>
          <w:cols w:space="0" w:num="1"/>
          <w:rtlGutter w:val="0"/>
          <w:docGrid w:type="lines" w:linePitch="312" w:charSpace="0"/>
        </w:sectPr>
      </w:pPr>
    </w:p>
    <w:p w14:paraId="2B46DA59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576" w:lineRule="exact"/>
        <w:jc w:val="center"/>
        <w:textAlignment w:val="auto"/>
        <w:rPr>
          <w:rFonts w:hint="eastAsia" w:ascii="Times New Roman" w:hAnsi="Times New Roman" w:eastAsia="方正小标宋简体"/>
          <w:sz w:val="44"/>
          <w:szCs w:val="44"/>
        </w:rPr>
      </w:pPr>
      <w:r>
        <w:rPr>
          <w:rFonts w:hint="eastAsia" w:ascii="Times New Roman" w:hAnsi="Times New Roman" w:eastAsia="方正小标宋简体"/>
          <w:sz w:val="44"/>
          <w:szCs w:val="44"/>
        </w:rPr>
        <w:t>项目支出绩效自评报告</w:t>
      </w:r>
    </w:p>
    <w:p w14:paraId="5FBA9C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6" w:lineRule="exact"/>
        <w:jc w:val="center"/>
        <w:textAlignment w:val="auto"/>
        <w:rPr>
          <w:rFonts w:hint="eastAsia" w:ascii="Times New Roman" w:hAnsi="Times New Roman" w:eastAsia="楷体_GB2312"/>
          <w:sz w:val="28"/>
          <w:szCs w:val="28"/>
        </w:rPr>
      </w:pPr>
    </w:p>
    <w:p w14:paraId="2DD0EA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ascii="Times New Roman" w:hAnsi="Times New Roman" w:eastAsia="黑体" w:cs="Times New Roman"/>
          <w:b w:val="0"/>
          <w:bCs w:val="0"/>
          <w:sz w:val="32"/>
          <w:szCs w:val="32"/>
        </w:rPr>
      </w:pPr>
      <w:r>
        <w:rPr>
          <w:rFonts w:ascii="Times New Roman" w:hAnsi="Times New Roman" w:eastAsia="黑体" w:cs="Times New Roman"/>
          <w:b w:val="0"/>
          <w:bCs w:val="0"/>
          <w:sz w:val="32"/>
          <w:szCs w:val="32"/>
        </w:rPr>
        <w:t>一、项目基本情况</w:t>
      </w:r>
    </w:p>
    <w:p w14:paraId="64B6BE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Times New Roman" w:hAnsi="Times New Roman" w:eastAsia="楷体_GB2312" w:cs="楷体_GB2312"/>
          <w:b w:val="0"/>
          <w:bCs w:val="0"/>
          <w:sz w:val="32"/>
          <w:szCs w:val="32"/>
          <w:lang w:eastAsia="zh-CN"/>
        </w:rPr>
      </w:pPr>
      <w:r>
        <w:rPr>
          <w:rFonts w:hint="eastAsia" w:ascii="Times New Roman" w:hAnsi="Times New Roman" w:eastAsia="楷体_GB2312" w:cs="楷体_GB2312"/>
          <w:b w:val="0"/>
          <w:bCs w:val="0"/>
          <w:sz w:val="32"/>
          <w:szCs w:val="32"/>
          <w:lang w:eastAsia="zh-CN"/>
        </w:rPr>
        <w:t>（一）项目立项背景</w:t>
      </w:r>
    </w:p>
    <w:p w14:paraId="78C584C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576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根据天水市麦积区第七届人民政府第三十五次常务会议纪要，建成全区食品药品远程视频监控中心，将全区大中型食品药品生产经营企业纳入远程监控范围，执法人员通过执法终端可以随时对重点企业实现远程监控。</w:t>
      </w:r>
    </w:p>
    <w:p w14:paraId="3A49A5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Times New Roman" w:hAnsi="Times New Roman" w:eastAsia="楷体_GB2312" w:cs="楷体_GB2312"/>
          <w:b w:val="0"/>
          <w:bCs w:val="0"/>
          <w:sz w:val="32"/>
          <w:szCs w:val="32"/>
          <w:lang w:eastAsia="zh-CN"/>
        </w:rPr>
      </w:pPr>
      <w:r>
        <w:rPr>
          <w:rFonts w:hint="eastAsia" w:ascii="Times New Roman" w:hAnsi="Times New Roman" w:eastAsia="楷体_GB2312" w:cs="楷体_GB2312"/>
          <w:b w:val="0"/>
          <w:bCs w:val="0"/>
          <w:sz w:val="32"/>
          <w:szCs w:val="32"/>
          <w:lang w:eastAsia="zh-CN"/>
        </w:rPr>
        <w:t>（二）项目预算安排及使用情况</w:t>
      </w:r>
    </w:p>
    <w:p w14:paraId="68DCF0F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576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仿宋_GB2312"/>
          <w:kern w:val="0"/>
          <w:sz w:val="32"/>
          <w:szCs w:val="32"/>
          <w:lang w:val="en-US" w:eastAsia="zh-CN" w:bidi="ar"/>
        </w:rPr>
        <w:t>项目年初预算资金为</w:t>
      </w:r>
      <w:r>
        <w:rPr>
          <w:rFonts w:hint="eastAsia" w:ascii="Times New Roman" w:hAnsi="Times New Roman" w:eastAsia="仿宋_GB2312" w:cs="仿宋_GB2312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15</w:t>
      </w:r>
      <w:r>
        <w:rPr>
          <w:rFonts w:hint="eastAsia" w:ascii="Times New Roman" w:hAnsi="Times New Roman" w:eastAsia="仿宋_GB2312" w:cs="仿宋_GB2312"/>
          <w:kern w:val="0"/>
          <w:sz w:val="32"/>
          <w:szCs w:val="32"/>
          <w:lang w:val="en-US" w:eastAsia="zh-CN" w:bidi="ar"/>
        </w:rPr>
        <w:t>万元，</w:t>
      </w:r>
      <w:r>
        <w:rPr>
          <w:rFonts w:hint="eastAsia" w:ascii="Times New Roman" w:hAnsi="Times New Roman" w:eastAsia="仿宋_GB2312" w:cs="Times New Roman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后指标冻结并收回</w:t>
      </w:r>
      <w:r>
        <w:rPr>
          <w:rFonts w:hint="eastAsia" w:ascii="Times New Roman" w:hAnsi="Times New Roman" w:eastAsia="仿宋_GB2312" w:cs="仿宋_GB2312"/>
          <w:kern w:val="0"/>
          <w:sz w:val="32"/>
          <w:szCs w:val="32"/>
          <w:lang w:val="en-US" w:eastAsia="zh-CN" w:bidi="ar"/>
        </w:rPr>
        <w:t>。</w:t>
      </w:r>
      <w:r>
        <w:rPr>
          <w:rFonts w:hint="eastAsia" w:ascii="Times New Roman" w:hAnsi="Times New Roman" w:eastAsia="仿宋_GB2312" w:cs="仿宋_GB2312"/>
          <w:sz w:val="32"/>
          <w:szCs w:val="32"/>
        </w:rPr>
        <w:t>建立了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食品药品领域执法终端</w:t>
      </w:r>
      <w:r>
        <w:rPr>
          <w:rFonts w:hint="eastAsia" w:ascii="Times New Roman" w:hAnsi="Times New Roman" w:eastAsia="仿宋_GB2312" w:cs="仿宋_GB2312"/>
          <w:sz w:val="32"/>
          <w:szCs w:val="32"/>
        </w:rPr>
        <w:t>远程监控，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强化智慧监管，</w:t>
      </w:r>
      <w:r>
        <w:rPr>
          <w:rFonts w:hint="eastAsia" w:ascii="Times New Roman" w:hAnsi="Times New Roman" w:eastAsia="仿宋_GB2312" w:cs="仿宋_GB2312"/>
          <w:sz w:val="32"/>
          <w:szCs w:val="32"/>
        </w:rPr>
        <w:t>实时监控食品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药品</w:t>
      </w:r>
      <w:r>
        <w:rPr>
          <w:rFonts w:hint="eastAsia" w:ascii="Times New Roman" w:hAnsi="Times New Roman" w:eastAsia="仿宋_GB2312" w:cs="仿宋_GB2312"/>
          <w:sz w:val="32"/>
          <w:szCs w:val="32"/>
        </w:rPr>
        <w:t>生产经营情况，发现问题及时处理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，确保及时消除安全隐患</w:t>
      </w:r>
      <w:r>
        <w:rPr>
          <w:rFonts w:hint="eastAsia" w:ascii="Times New Roman" w:hAnsi="Times New Roman" w:eastAsia="仿宋_GB2312" w:cs="仿宋_GB2312"/>
          <w:sz w:val="32"/>
          <w:szCs w:val="32"/>
        </w:rPr>
        <w:t>。</w:t>
      </w:r>
    </w:p>
    <w:p w14:paraId="4E88E6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Times New Roman" w:hAnsi="Times New Roman" w:eastAsia="楷体_GB2312" w:cs="楷体_GB2312"/>
          <w:b w:val="0"/>
          <w:bCs w:val="0"/>
          <w:sz w:val="32"/>
          <w:szCs w:val="32"/>
          <w:lang w:eastAsia="zh-CN"/>
        </w:rPr>
      </w:pPr>
      <w:r>
        <w:rPr>
          <w:rFonts w:hint="eastAsia" w:ascii="Times New Roman" w:hAnsi="Times New Roman" w:eastAsia="楷体_GB2312" w:cs="楷体_GB2312"/>
          <w:b w:val="0"/>
          <w:bCs w:val="0"/>
          <w:sz w:val="32"/>
          <w:szCs w:val="32"/>
          <w:lang w:eastAsia="zh-CN"/>
        </w:rPr>
        <w:t>（三）项目计划内容及实施情况</w:t>
      </w:r>
    </w:p>
    <w:p w14:paraId="53300E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仿宋"/>
          <w:sz w:val="32"/>
          <w:szCs w:val="40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将全区大中型食品药品生产经营企业纳入远程监控范围，执法人员通过执法终端可以随时对重点企业实现远程监控。</w:t>
      </w:r>
    </w:p>
    <w:p w14:paraId="010C6E7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Times New Roman" w:hAnsi="Times New Roman" w:eastAsia="楷体_GB2312" w:cs="楷体_GB2312"/>
          <w:b w:val="0"/>
          <w:bCs w:val="0"/>
          <w:sz w:val="32"/>
          <w:szCs w:val="32"/>
          <w:lang w:eastAsia="zh-CN"/>
        </w:rPr>
      </w:pPr>
      <w:r>
        <w:rPr>
          <w:rFonts w:hint="eastAsia" w:ascii="Times New Roman" w:hAnsi="Times New Roman" w:eastAsia="楷体_GB2312" w:cs="楷体_GB2312"/>
          <w:b w:val="0"/>
          <w:bCs w:val="0"/>
          <w:sz w:val="32"/>
          <w:szCs w:val="32"/>
          <w:lang w:eastAsia="zh-CN"/>
        </w:rPr>
        <w:t>（四）项目组织管理情况</w:t>
      </w:r>
    </w:p>
    <w:p w14:paraId="3E60E1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建立绩效管理制度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明确绩效管理的目标、原则、内容、方法和程序，建立绩效管理的组织体系和工作机制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确保绩效管理工作的顺利开展。</w:t>
      </w:r>
    </w:p>
    <w:p w14:paraId="2E9A71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ascii="Times New Roman" w:hAnsi="Times New Roman" w:eastAsia="黑体" w:cs="Times New Roman"/>
          <w:b w:val="0"/>
          <w:bCs w:val="0"/>
          <w:sz w:val="32"/>
          <w:szCs w:val="32"/>
        </w:rPr>
      </w:pPr>
      <w:r>
        <w:rPr>
          <w:rFonts w:hint="eastAsia" w:ascii="Times New Roman" w:hAnsi="Times New Roman" w:eastAsia="黑体" w:cs="Times New Roman"/>
          <w:b w:val="0"/>
          <w:bCs w:val="0"/>
          <w:sz w:val="32"/>
          <w:szCs w:val="32"/>
        </w:rPr>
        <w:t>二、项目绩效目标</w:t>
      </w:r>
    </w:p>
    <w:p w14:paraId="5B02D3A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通过“甘肃省电子追溯系统”和“陇上食安”手机端开展网上巡查，对明厨亮灶、证照公示、食材溯源、检测公示、清洗</w:t>
      </w:r>
      <w:bookmarkStart w:id="0" w:name="_GoBack"/>
      <w:bookmarkEnd w:id="0"/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消毒、食品留样、餐厨内部操作等食品安全情况进行网上巡查、风险预警。截至目前，完成明厨亮灶770家、阳光仓储230家、透明车间153家，开展网上巡查5940条、记分管理320条。</w:t>
      </w:r>
    </w:p>
    <w:p w14:paraId="28E7E6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Times New Roman" w:hAnsi="Times New Roman" w:eastAsia="黑体" w:cs="Times New Roman"/>
          <w:b w:val="0"/>
          <w:bCs w:val="0"/>
          <w:sz w:val="32"/>
          <w:szCs w:val="32"/>
        </w:rPr>
      </w:pPr>
      <w:r>
        <w:rPr>
          <w:rFonts w:hint="eastAsia" w:ascii="Times New Roman" w:hAnsi="Times New Roman" w:eastAsia="黑体" w:cs="Times New Roman"/>
          <w:b w:val="0"/>
          <w:bCs w:val="0"/>
          <w:sz w:val="32"/>
          <w:szCs w:val="32"/>
        </w:rPr>
        <w:t>三、评价基本情况</w:t>
      </w:r>
    </w:p>
    <w:p w14:paraId="23A1E640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76" w:lineRule="exact"/>
        <w:ind w:firstLine="640" w:firstLineChars="200"/>
        <w:textAlignment w:val="auto"/>
        <w:rPr>
          <w:rFonts w:hint="eastAsia" w:ascii="Times New Roman" w:hAnsi="Times New Roman" w:eastAsia="楷体_GB2312" w:cs="楷体_GB2312"/>
          <w:b w:val="0"/>
          <w:bCs w:val="0"/>
          <w:sz w:val="32"/>
          <w:szCs w:val="32"/>
          <w:lang w:eastAsia="zh-CN"/>
        </w:rPr>
      </w:pPr>
      <w:r>
        <w:rPr>
          <w:rFonts w:hint="eastAsia" w:ascii="Times New Roman" w:hAnsi="Times New Roman" w:eastAsia="楷体_GB2312" w:cs="楷体_GB2312"/>
          <w:b w:val="0"/>
          <w:bCs w:val="0"/>
          <w:sz w:val="32"/>
          <w:szCs w:val="32"/>
          <w:lang w:eastAsia="zh-CN"/>
        </w:rPr>
        <w:t>（一）评价目的</w:t>
      </w:r>
    </w:p>
    <w:p w14:paraId="51434B5C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76" w:lineRule="exact"/>
        <w:ind w:firstLine="640" w:firstLineChars="200"/>
        <w:textAlignment w:val="auto"/>
        <w:rPr>
          <w:rFonts w:hint="eastAsia" w:ascii="Times New Roman" w:hAnsi="Times New Roman" w:eastAsia="仿宋" w:cs="仿宋"/>
          <w:sz w:val="32"/>
          <w:szCs w:val="40"/>
          <w:lang w:eastAsia="zh-CN"/>
        </w:rPr>
      </w:pPr>
      <w:r>
        <w:rPr>
          <w:rFonts w:hint="eastAsia" w:ascii="Times New Roman" w:hAnsi="Times New Roman" w:eastAsia="仿宋" w:cs="仿宋"/>
          <w:sz w:val="32"/>
          <w:szCs w:val="40"/>
          <w:lang w:eastAsia="zh-CN"/>
        </w:rPr>
        <w:t>全面了解项目资金使用、项目实施及产出效益情况，总结项目实施经验，发现存在问题，为改进项目管理、优化财政资源配置提供依据，提高财政资金使用效益和项目管理水平。</w:t>
      </w:r>
    </w:p>
    <w:p w14:paraId="55DB1097">
      <w:pPr>
        <w:pStyle w:val="11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76" w:lineRule="exact"/>
        <w:ind w:firstLine="624" w:firstLineChars="195"/>
        <w:textAlignment w:val="auto"/>
        <w:rPr>
          <w:rFonts w:hint="eastAsia" w:ascii="Times New Roman" w:hAnsi="Times New Roman" w:eastAsia="楷体_GB2312" w:cs="楷体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楷体_GB2312" w:cs="楷体_GB2312"/>
          <w:b w:val="0"/>
          <w:bCs w:val="0"/>
          <w:kern w:val="2"/>
          <w:sz w:val="32"/>
          <w:szCs w:val="32"/>
          <w:lang w:val="en-US" w:eastAsia="zh-CN" w:bidi="ar-SA"/>
        </w:rPr>
        <w:t>（二）评价对象与范围</w:t>
      </w:r>
    </w:p>
    <w:p w14:paraId="7977E15D">
      <w:pPr>
        <w:pStyle w:val="11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76" w:lineRule="exact"/>
        <w:ind w:firstLine="624" w:firstLineChars="195"/>
        <w:textAlignment w:val="auto"/>
        <w:rPr>
          <w:rFonts w:hint="eastAsia" w:ascii="Times New Roman" w:hAnsi="Times New Roman" w:eastAsia="仿宋" w:cs="仿宋"/>
          <w:sz w:val="32"/>
          <w:szCs w:val="40"/>
          <w:lang w:eastAsia="zh-CN"/>
        </w:rPr>
      </w:pPr>
      <w:r>
        <w:rPr>
          <w:rFonts w:hint="eastAsia" w:ascii="Times New Roman" w:hAnsi="Times New Roman" w:eastAsia="仿宋" w:cs="仿宋"/>
          <w:sz w:val="32"/>
          <w:szCs w:val="40"/>
          <w:lang w:eastAsia="zh-CN"/>
        </w:rPr>
        <w:t>涵盖项目全部资金支出，以及项目立项、预算编制与执行、项目产出和效益等各个环节。</w:t>
      </w:r>
    </w:p>
    <w:p w14:paraId="77F34E5B">
      <w:pPr>
        <w:pStyle w:val="11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76" w:lineRule="exact"/>
        <w:ind w:firstLine="624" w:firstLineChars="195"/>
        <w:textAlignment w:val="auto"/>
        <w:rPr>
          <w:rFonts w:hint="eastAsia" w:ascii="Times New Roman" w:hAnsi="Times New Roman" w:eastAsia="楷体_GB2312" w:cs="楷体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楷体_GB2312" w:cs="楷体_GB2312"/>
          <w:b w:val="0"/>
          <w:bCs w:val="0"/>
          <w:kern w:val="2"/>
          <w:sz w:val="32"/>
          <w:szCs w:val="32"/>
          <w:lang w:val="en-US" w:eastAsia="zh-CN" w:bidi="ar-SA"/>
        </w:rPr>
        <w:t>（三）评价依据</w:t>
      </w:r>
    </w:p>
    <w:p w14:paraId="546F0CA4">
      <w:pPr>
        <w:pStyle w:val="11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76" w:lineRule="exact"/>
        <w:ind w:firstLine="624" w:firstLineChars="195"/>
        <w:textAlignment w:val="auto"/>
        <w:rPr>
          <w:rFonts w:hint="eastAsia" w:ascii="Times New Roman" w:hAnsi="Times New Roman" w:eastAsia="仿宋_GB2312" w:cs="仿宋"/>
          <w:sz w:val="32"/>
          <w:szCs w:val="40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天水市麦积区第七届人民政府第三十五次常务会议纪要。</w:t>
      </w:r>
    </w:p>
    <w:p w14:paraId="5467EE0A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76" w:lineRule="exact"/>
        <w:ind w:firstLine="640" w:firstLineChars="200"/>
        <w:textAlignment w:val="auto"/>
        <w:rPr>
          <w:rFonts w:hint="eastAsia" w:ascii="Times New Roman" w:hAnsi="Times New Roman" w:eastAsia="楷体_GB2312" w:cs="楷体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楷体_GB2312" w:cs="楷体_GB2312"/>
          <w:b w:val="0"/>
          <w:bCs w:val="0"/>
          <w:kern w:val="2"/>
          <w:sz w:val="32"/>
          <w:szCs w:val="32"/>
          <w:lang w:val="en-US" w:eastAsia="zh-CN" w:bidi="ar-SA"/>
        </w:rPr>
        <w:t>（四）评价原则、评价方法</w:t>
      </w:r>
    </w:p>
    <w:p w14:paraId="3E49F21C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76" w:lineRule="exact"/>
        <w:ind w:firstLine="640" w:firstLineChars="200"/>
        <w:textAlignment w:val="auto"/>
        <w:rPr>
          <w:rFonts w:hint="eastAsia" w:ascii="Times New Roman" w:hAnsi="Times New Roman" w:eastAsia="仿宋" w:cs="仿宋"/>
          <w:sz w:val="32"/>
          <w:szCs w:val="40"/>
          <w:lang w:eastAsia="zh-CN"/>
        </w:rPr>
      </w:pPr>
      <w:r>
        <w:rPr>
          <w:rFonts w:hint="eastAsia" w:ascii="Times New Roman" w:hAnsi="Times New Roman" w:eastAsia="仿宋" w:cs="仿宋"/>
          <w:sz w:val="32"/>
          <w:szCs w:val="40"/>
          <w:lang w:eastAsia="zh-CN"/>
        </w:rPr>
        <w:t>遵循科学规范、公开公正、分级分类、绩效相关的原则。</w:t>
      </w:r>
    </w:p>
    <w:p w14:paraId="6E61CA5E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76" w:lineRule="exact"/>
        <w:ind w:firstLine="640" w:firstLineChars="200"/>
        <w:textAlignment w:val="auto"/>
        <w:rPr>
          <w:rFonts w:hint="eastAsia" w:ascii="Times New Roman" w:hAnsi="Times New Roman" w:eastAsia="楷体_GB2312" w:cs="楷体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楷体_GB2312" w:cs="楷体_GB2312"/>
          <w:b w:val="0"/>
          <w:bCs w:val="0"/>
          <w:kern w:val="2"/>
          <w:sz w:val="32"/>
          <w:szCs w:val="32"/>
          <w:lang w:val="en-US" w:eastAsia="zh-CN" w:bidi="ar-SA"/>
        </w:rPr>
        <w:t>（五）绩效评价指标体系</w:t>
      </w:r>
    </w:p>
    <w:p w14:paraId="370EFF56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76" w:lineRule="exact"/>
        <w:ind w:firstLine="640" w:firstLineChars="200"/>
        <w:textAlignment w:val="auto"/>
        <w:rPr>
          <w:rFonts w:hint="eastAsia" w:ascii="Times New Roman" w:hAnsi="Times New Roman" w:eastAsia="仿宋" w:cs="仿宋"/>
          <w:sz w:val="32"/>
          <w:szCs w:val="40"/>
          <w:lang w:eastAsia="zh-CN"/>
        </w:rPr>
      </w:pPr>
      <w:r>
        <w:rPr>
          <w:rFonts w:hint="eastAsia" w:ascii="Times New Roman" w:hAnsi="Times New Roman" w:eastAsia="仿宋" w:cs="仿宋"/>
          <w:sz w:val="32"/>
          <w:szCs w:val="40"/>
          <w:lang w:eastAsia="zh-CN"/>
        </w:rPr>
        <w:t>建立健全绩效评价指标体系。</w:t>
      </w:r>
    </w:p>
    <w:p w14:paraId="0508414D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76" w:lineRule="exact"/>
        <w:ind w:firstLine="640" w:firstLineChars="200"/>
        <w:textAlignment w:val="auto"/>
        <w:rPr>
          <w:rFonts w:hint="eastAsia" w:ascii="Times New Roman" w:hAnsi="Times New Roman" w:eastAsia="楷体_GB2312" w:cs="楷体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楷体_GB2312" w:cs="楷体_GB2312"/>
          <w:b w:val="0"/>
          <w:bCs w:val="0"/>
          <w:kern w:val="2"/>
          <w:sz w:val="32"/>
          <w:szCs w:val="32"/>
          <w:lang w:val="en-US" w:eastAsia="zh-CN" w:bidi="ar-SA"/>
        </w:rPr>
        <w:t>（六）评价人员组成</w:t>
      </w:r>
    </w:p>
    <w:p w14:paraId="541D67D5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76" w:lineRule="exact"/>
        <w:ind w:firstLine="640" w:firstLineChars="200"/>
        <w:textAlignment w:val="auto"/>
        <w:rPr>
          <w:rFonts w:hint="eastAsia" w:ascii="Times New Roman" w:hAnsi="Times New Roman" w:eastAsia="仿宋" w:cs="仿宋"/>
          <w:sz w:val="32"/>
          <w:szCs w:val="40"/>
          <w:lang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领导小组组成人员及主要职责：组长张锦涛（区市场监管局党组成员）、副组长安宗敏（区市场监管局办公室主任）、成员：王小艳（会计）、杨洁（出纳），领导小组下设办公室，王小艳同志负责推进预算绩效管理工作的组织、协调与推动。</w:t>
      </w:r>
    </w:p>
    <w:p w14:paraId="69C80ACB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76" w:lineRule="exact"/>
        <w:ind w:firstLine="640" w:firstLineChars="200"/>
        <w:textAlignment w:val="auto"/>
        <w:rPr>
          <w:rFonts w:hint="eastAsia" w:ascii="Times New Roman" w:hAnsi="Times New Roman" w:eastAsia="楷体_GB2312" w:cs="楷体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楷体_GB2312" w:cs="楷体_GB2312"/>
          <w:b w:val="0"/>
          <w:bCs w:val="0"/>
          <w:kern w:val="2"/>
          <w:sz w:val="32"/>
          <w:szCs w:val="32"/>
          <w:lang w:val="en-US" w:eastAsia="zh-CN" w:bidi="ar-SA"/>
        </w:rPr>
        <w:t>（七）绩效评价工作过程</w:t>
      </w:r>
    </w:p>
    <w:p w14:paraId="73309140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76" w:lineRule="exact"/>
        <w:ind w:firstLine="640" w:firstLineChars="200"/>
        <w:textAlignment w:val="auto"/>
        <w:rPr>
          <w:rFonts w:hint="eastAsia" w:ascii="Times New Roman" w:hAnsi="Times New Roman" w:eastAsia="仿宋" w:cs="仿宋"/>
          <w:sz w:val="32"/>
          <w:szCs w:val="40"/>
        </w:rPr>
      </w:pPr>
      <w:r>
        <w:rPr>
          <w:rFonts w:hint="eastAsia" w:ascii="Times New Roman" w:hAnsi="Times New Roman" w:eastAsia="仿宋" w:cs="仿宋"/>
          <w:sz w:val="32"/>
          <w:szCs w:val="40"/>
          <w:lang w:eastAsia="zh-CN"/>
        </w:rPr>
        <w:t>通过</w:t>
      </w:r>
      <w:r>
        <w:rPr>
          <w:rFonts w:hint="eastAsia" w:ascii="Times New Roman" w:hAnsi="Times New Roman" w:eastAsia="仿宋" w:cs="仿宋"/>
          <w:sz w:val="32"/>
          <w:szCs w:val="40"/>
        </w:rPr>
        <w:t>前期准备、非现场评价、现场评价、综合分析、评价报告撰写等评价工作过程。</w:t>
      </w:r>
    </w:p>
    <w:p w14:paraId="5D3B61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Times New Roman" w:hAnsi="Times New Roman" w:eastAsia="黑体" w:cs="Times New Roman"/>
          <w:b w:val="0"/>
          <w:bCs w:val="0"/>
          <w:sz w:val="32"/>
          <w:szCs w:val="32"/>
        </w:rPr>
      </w:pPr>
      <w:r>
        <w:rPr>
          <w:rFonts w:hint="eastAsia" w:ascii="Times New Roman" w:hAnsi="Times New Roman" w:eastAsia="黑体" w:cs="Times New Roman"/>
          <w:b w:val="0"/>
          <w:bCs w:val="0"/>
          <w:sz w:val="32"/>
          <w:szCs w:val="32"/>
        </w:rPr>
        <w:t>四、评价结论及分析</w:t>
      </w:r>
    </w:p>
    <w:p w14:paraId="0294A0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Times New Roman" w:hAnsi="Times New Roman" w:eastAsia="楷体_GB2312" w:cs="楷体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楷体_GB2312" w:cs="楷体_GB2312"/>
          <w:b w:val="0"/>
          <w:bCs w:val="0"/>
          <w:sz w:val="32"/>
          <w:szCs w:val="32"/>
          <w:lang w:eastAsia="zh-CN"/>
        </w:rPr>
        <w:t>（一）</w:t>
      </w:r>
      <w:r>
        <w:rPr>
          <w:rFonts w:hint="eastAsia" w:ascii="Times New Roman" w:hAnsi="Times New Roman" w:eastAsia="楷体_GB2312" w:cs="楷体_GB2312"/>
          <w:b w:val="0"/>
          <w:bCs w:val="0"/>
          <w:kern w:val="2"/>
          <w:sz w:val="32"/>
          <w:szCs w:val="32"/>
          <w:lang w:val="en-US" w:eastAsia="zh-CN" w:bidi="ar-SA"/>
        </w:rPr>
        <w:t>评分结果</w:t>
      </w:r>
    </w:p>
    <w:p w14:paraId="1780C0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Times New Roman" w:hAnsi="Times New Roman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采用100分制，项目总得分为90分，评价等级为“优”。</w:t>
      </w:r>
    </w:p>
    <w:p w14:paraId="54B672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76" w:lineRule="exact"/>
        <w:ind w:firstLine="640" w:firstLineChars="200"/>
        <w:textAlignment w:val="auto"/>
        <w:rPr>
          <w:rFonts w:hint="eastAsia" w:ascii="Times New Roman" w:hAnsi="Times New Roman" w:eastAsia="楷体_GB2312" w:cs="楷体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楷体_GB2312" w:cs="楷体_GB2312"/>
          <w:b w:val="0"/>
          <w:bCs w:val="0"/>
          <w:kern w:val="2"/>
          <w:sz w:val="32"/>
          <w:szCs w:val="32"/>
          <w:lang w:val="en-US" w:eastAsia="zh-CN" w:bidi="ar-SA"/>
        </w:rPr>
        <w:t>（二）主要结论</w:t>
      </w:r>
    </w:p>
    <w:p w14:paraId="7CAC7B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76" w:lineRule="exact"/>
        <w:ind w:firstLine="664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pacing w:val="6"/>
          <w:sz w:val="32"/>
          <w:szCs w:val="32"/>
        </w:rPr>
        <w:t>保障</w:t>
      </w:r>
      <w:r>
        <w:rPr>
          <w:rFonts w:hint="eastAsia" w:ascii="Times New Roman" w:hAnsi="Times New Roman" w:eastAsia="仿宋_GB2312" w:cs="Times New Roman"/>
          <w:spacing w:val="6"/>
          <w:sz w:val="32"/>
          <w:szCs w:val="32"/>
          <w:lang w:eastAsia="zh-CN"/>
        </w:rPr>
        <w:t>了</w:t>
      </w:r>
      <w:r>
        <w:rPr>
          <w:rFonts w:hint="default" w:ascii="Times New Roman" w:hAnsi="Times New Roman" w:eastAsia="仿宋_GB2312" w:cs="Times New Roman"/>
          <w:spacing w:val="6"/>
          <w:sz w:val="32"/>
          <w:szCs w:val="32"/>
        </w:rPr>
        <w:t>食品药品远程监控正常运行</w:t>
      </w:r>
      <w:r>
        <w:rPr>
          <w:rFonts w:hint="eastAsia" w:ascii="Times New Roman" w:hAnsi="Times New Roman" w:eastAsia="仿宋_GB2312" w:cs="Times New Roman"/>
          <w:spacing w:val="6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执法终端正常使用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推动智慧监管，提升监管智慧化、科学化水平。</w:t>
      </w:r>
    </w:p>
    <w:p w14:paraId="25AE39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Times New Roman" w:hAnsi="Times New Roman" w:eastAsia="黑体" w:cs="Times New Roman"/>
          <w:b w:val="0"/>
          <w:bCs w:val="0"/>
          <w:sz w:val="32"/>
          <w:szCs w:val="32"/>
        </w:rPr>
      </w:pPr>
      <w:r>
        <w:rPr>
          <w:rFonts w:hint="eastAsia" w:ascii="Times New Roman" w:hAnsi="Times New Roman" w:eastAsia="黑体" w:cs="Times New Roman"/>
          <w:b w:val="0"/>
          <w:bCs w:val="0"/>
          <w:sz w:val="32"/>
          <w:szCs w:val="32"/>
        </w:rPr>
        <w:t>五、绩效评价指标分析</w:t>
      </w:r>
    </w:p>
    <w:p w14:paraId="17E85747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76" w:lineRule="exact"/>
        <w:ind w:firstLine="640" w:firstLineChars="200"/>
        <w:textAlignment w:val="auto"/>
        <w:rPr>
          <w:rFonts w:hint="eastAsia" w:ascii="Times New Roman" w:hAnsi="Times New Roman" w:eastAsia="楷体_GB2312" w:cs="楷体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楷体_GB2312" w:cs="楷体_GB2312"/>
          <w:b w:val="0"/>
          <w:bCs w:val="0"/>
          <w:kern w:val="2"/>
          <w:sz w:val="32"/>
          <w:szCs w:val="32"/>
          <w:lang w:val="en-US" w:eastAsia="zh-CN" w:bidi="ar-SA"/>
        </w:rPr>
        <w:t>（一）项目决策情况</w:t>
      </w:r>
    </w:p>
    <w:p w14:paraId="5F5EE406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76" w:lineRule="exact"/>
        <w:ind w:firstLine="640" w:firstLineChars="200"/>
        <w:textAlignment w:val="auto"/>
        <w:rPr>
          <w:rFonts w:hint="eastAsia" w:ascii="Times New Roman" w:hAnsi="Times New Roman" w:eastAsia="仿宋" w:cs="仿宋"/>
          <w:sz w:val="32"/>
          <w:szCs w:val="40"/>
          <w:lang w:eastAsia="zh-CN"/>
        </w:rPr>
      </w:pPr>
      <w:r>
        <w:rPr>
          <w:rFonts w:hint="eastAsia" w:ascii="Times New Roman" w:hAnsi="Times New Roman" w:eastAsia="仿宋" w:cs="仿宋"/>
          <w:sz w:val="32"/>
          <w:szCs w:val="40"/>
          <w:lang w:eastAsia="zh-CN"/>
        </w:rPr>
        <w:t>项目立项依据充分，绩效目标明确，资金使用规范。</w:t>
      </w:r>
    </w:p>
    <w:p w14:paraId="4001E9C6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76" w:lineRule="exact"/>
        <w:ind w:firstLine="640" w:firstLineChars="200"/>
        <w:textAlignment w:val="auto"/>
        <w:rPr>
          <w:rFonts w:hint="eastAsia" w:ascii="Times New Roman" w:hAnsi="Times New Roman" w:eastAsia="楷体_GB2312" w:cs="楷体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楷体_GB2312" w:cs="楷体_GB2312"/>
          <w:b w:val="0"/>
          <w:bCs w:val="0"/>
          <w:kern w:val="2"/>
          <w:sz w:val="32"/>
          <w:szCs w:val="32"/>
          <w:lang w:val="en-US" w:eastAsia="zh-CN" w:bidi="ar-SA"/>
        </w:rPr>
        <w:t>（二）项目过程情况</w:t>
      </w:r>
    </w:p>
    <w:p w14:paraId="7642794A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76" w:lineRule="exact"/>
        <w:ind w:firstLine="640" w:firstLineChars="200"/>
        <w:textAlignment w:val="auto"/>
        <w:rPr>
          <w:rFonts w:hint="eastAsia" w:ascii="Times New Roman" w:hAnsi="Times New Roman" w:eastAsia="仿宋" w:cs="仿宋"/>
          <w:sz w:val="32"/>
          <w:szCs w:val="40"/>
          <w:lang w:eastAsia="zh-CN"/>
        </w:rPr>
      </w:pPr>
      <w:r>
        <w:rPr>
          <w:rFonts w:hint="eastAsia" w:ascii="Times New Roman" w:hAnsi="Times New Roman" w:eastAsia="仿宋" w:cs="仿宋"/>
          <w:sz w:val="32"/>
          <w:szCs w:val="40"/>
          <w:lang w:eastAsia="zh-CN"/>
        </w:rPr>
        <w:t>项目管理制度健全、执行有效，资金管理规范，严格按照预算执行，采购程序合规。</w:t>
      </w:r>
    </w:p>
    <w:p w14:paraId="5C64BD7A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76" w:lineRule="exact"/>
        <w:ind w:firstLine="640" w:firstLineChars="200"/>
        <w:textAlignment w:val="auto"/>
        <w:rPr>
          <w:rFonts w:hint="eastAsia" w:ascii="Times New Roman" w:hAnsi="Times New Roman" w:eastAsia="楷体_GB2312" w:cs="楷体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楷体_GB2312" w:cs="楷体_GB2312"/>
          <w:b w:val="0"/>
          <w:bCs w:val="0"/>
          <w:kern w:val="2"/>
          <w:sz w:val="32"/>
          <w:szCs w:val="32"/>
          <w:lang w:val="en-US" w:eastAsia="zh-CN" w:bidi="ar-SA"/>
        </w:rPr>
        <w:t>（三）项目产出情况</w:t>
      </w:r>
    </w:p>
    <w:p w14:paraId="30D8F603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76" w:lineRule="exact"/>
        <w:ind w:firstLine="640" w:firstLineChars="200"/>
        <w:textAlignment w:val="auto"/>
        <w:rPr>
          <w:rFonts w:hint="eastAsia" w:ascii="Times New Roman" w:hAnsi="Times New Roman" w:eastAsia="仿宋_GB2312" w:cs="仿宋"/>
          <w:sz w:val="32"/>
          <w:szCs w:val="40"/>
          <w:lang w:val="en-US"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远程监控系统的建立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能够有效</w:t>
      </w:r>
      <w:r>
        <w:rPr>
          <w:rFonts w:hint="eastAsia" w:ascii="Times New Roman" w:hAnsi="Times New Roman" w:eastAsia="仿宋_GB2312" w:cs="仿宋_GB2312"/>
          <w:sz w:val="32"/>
          <w:szCs w:val="32"/>
        </w:rPr>
        <w:t>提高监管效率，减少了监管盲区，提升食品安全监管能力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。</w:t>
      </w:r>
    </w:p>
    <w:p w14:paraId="0A026161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76" w:lineRule="exact"/>
        <w:ind w:firstLine="640" w:firstLineChars="200"/>
        <w:textAlignment w:val="auto"/>
        <w:rPr>
          <w:rFonts w:hint="eastAsia" w:ascii="Times New Roman" w:hAnsi="Times New Roman" w:eastAsia="楷体_GB2312" w:cs="楷体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楷体_GB2312" w:cs="楷体_GB2312"/>
          <w:b w:val="0"/>
          <w:bCs w:val="0"/>
          <w:kern w:val="2"/>
          <w:sz w:val="32"/>
          <w:szCs w:val="32"/>
          <w:lang w:val="en-US" w:eastAsia="zh-CN" w:bidi="ar-SA"/>
        </w:rPr>
        <w:t>（四）项目效益情况</w:t>
      </w:r>
    </w:p>
    <w:p w14:paraId="0E107F77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76" w:lineRule="exact"/>
        <w:ind w:firstLine="640" w:firstLineChars="200"/>
        <w:textAlignment w:val="auto"/>
        <w:rPr>
          <w:rFonts w:hint="eastAsia" w:ascii="Times New Roman" w:hAnsi="Times New Roman" w:eastAsia="仿宋" w:cs="仿宋"/>
          <w:sz w:val="32"/>
          <w:szCs w:val="40"/>
          <w:lang w:eastAsia="zh-CN"/>
        </w:rPr>
      </w:pPr>
      <w:r>
        <w:rPr>
          <w:rFonts w:hint="eastAsia" w:ascii="Times New Roman" w:hAnsi="Times New Roman" w:eastAsia="仿宋" w:cs="仿宋"/>
          <w:sz w:val="32"/>
          <w:szCs w:val="40"/>
          <w:lang w:eastAsia="zh-CN"/>
        </w:rPr>
        <w:t>监管效能提升，群众满意度提高。</w:t>
      </w:r>
    </w:p>
    <w:p w14:paraId="6F266E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Times New Roman" w:hAnsi="Times New Roman" w:eastAsia="黑体" w:cs="Times New Roman"/>
          <w:b w:val="0"/>
          <w:bCs w:val="0"/>
          <w:sz w:val="32"/>
          <w:szCs w:val="32"/>
        </w:rPr>
      </w:pPr>
      <w:r>
        <w:rPr>
          <w:rFonts w:hint="eastAsia" w:ascii="Times New Roman" w:hAnsi="Times New Roman" w:eastAsia="黑体" w:cs="Times New Roman"/>
          <w:b w:val="0"/>
          <w:bCs w:val="0"/>
          <w:sz w:val="32"/>
          <w:szCs w:val="32"/>
        </w:rPr>
        <w:t>六、项目主要经验及做法</w:t>
      </w:r>
    </w:p>
    <w:p w14:paraId="5F99A877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76" w:lineRule="exact"/>
        <w:ind w:firstLine="640" w:firstLineChars="200"/>
        <w:textAlignment w:val="auto"/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实施食品药品远程监控，进一步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提高了</w:t>
      </w:r>
      <w:r>
        <w:rPr>
          <w:rFonts w:hint="eastAsia" w:ascii="Times New Roman" w:hAnsi="Times New Roman" w:eastAsia="仿宋_GB2312" w:cs="仿宋_GB2312"/>
          <w:sz w:val="32"/>
          <w:szCs w:val="32"/>
        </w:rPr>
        <w:t>监管手段，提升食品药品监管系统对食品药品生产经营企业的监管效能，建立公平、公正、有序、健康的食品药品市场秩序，确保广大人民群众饮食用药安全，逐步实现对企业食品药品生产加工过程和购、销、存等情况的实时监管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。</w:t>
      </w:r>
    </w:p>
    <w:p w14:paraId="393C96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Times New Roman" w:hAnsi="Times New Roman" w:eastAsia="黑体" w:cs="Times New Roman"/>
          <w:b w:val="0"/>
          <w:bCs w:val="0"/>
          <w:sz w:val="32"/>
          <w:szCs w:val="32"/>
        </w:rPr>
      </w:pPr>
      <w:r>
        <w:rPr>
          <w:rFonts w:hint="eastAsia" w:ascii="Times New Roman" w:hAnsi="Times New Roman" w:eastAsia="黑体" w:cs="Times New Roman"/>
          <w:b w:val="0"/>
          <w:bCs w:val="0"/>
          <w:sz w:val="32"/>
          <w:szCs w:val="32"/>
        </w:rPr>
        <w:t>七、存在的问题及原因分析</w:t>
      </w:r>
    </w:p>
    <w:p w14:paraId="4215FBEE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76" w:lineRule="exact"/>
        <w:ind w:firstLine="640" w:firstLineChars="200"/>
        <w:textAlignment w:val="auto"/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部分企业对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实施食品药品远程监控认识不足，对监控设备时开时不开，检修不及时等问题。</w:t>
      </w:r>
    </w:p>
    <w:p w14:paraId="354ED6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Times New Roman" w:hAnsi="Times New Roman" w:eastAsia="黑体" w:cs="Times New Roman"/>
          <w:b w:val="0"/>
          <w:bCs w:val="0"/>
          <w:sz w:val="32"/>
          <w:szCs w:val="32"/>
        </w:rPr>
      </w:pPr>
      <w:r>
        <w:rPr>
          <w:rFonts w:hint="eastAsia" w:ascii="Times New Roman" w:hAnsi="Times New Roman" w:eastAsia="黑体" w:cs="Times New Roman"/>
          <w:b w:val="0"/>
          <w:bCs w:val="0"/>
          <w:sz w:val="32"/>
          <w:szCs w:val="32"/>
        </w:rPr>
        <w:t>八、有关建议</w:t>
      </w:r>
    </w:p>
    <w:p w14:paraId="4B572A1E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76" w:lineRule="exact"/>
        <w:ind w:firstLine="640" w:firstLineChars="200"/>
        <w:textAlignment w:val="auto"/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加强宣传，提高企业对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实施食品药品远程监控的认识；加大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监管力度，督促企业正常运行监控设备。</w:t>
      </w:r>
    </w:p>
    <w:p w14:paraId="44BB27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Times New Roman" w:hAnsi="Times New Roman" w:eastAsia="黑体" w:cs="Times New Roman"/>
          <w:b w:val="0"/>
          <w:bCs w:val="0"/>
          <w:sz w:val="32"/>
          <w:szCs w:val="32"/>
        </w:rPr>
      </w:pPr>
      <w:r>
        <w:rPr>
          <w:rFonts w:hint="eastAsia" w:ascii="Times New Roman" w:hAnsi="Times New Roman" w:eastAsia="黑体" w:cs="Times New Roman"/>
          <w:b w:val="0"/>
          <w:bCs w:val="0"/>
          <w:sz w:val="32"/>
          <w:szCs w:val="32"/>
          <w:lang w:eastAsia="zh-CN"/>
        </w:rPr>
        <w:t>九、</w:t>
      </w:r>
      <w:r>
        <w:rPr>
          <w:rFonts w:hint="eastAsia" w:ascii="Times New Roman" w:hAnsi="Times New Roman" w:eastAsia="黑体" w:cs="Times New Roman"/>
          <w:b w:val="0"/>
          <w:bCs w:val="0"/>
          <w:sz w:val="32"/>
          <w:szCs w:val="32"/>
        </w:rPr>
        <w:t>需要说明的问题</w:t>
      </w:r>
    </w:p>
    <w:p w14:paraId="24A6F61C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76" w:lineRule="exact"/>
        <w:ind w:firstLine="640" w:firstLineChars="200"/>
        <w:textAlignment w:val="auto"/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无</w:t>
      </w:r>
    </w:p>
    <w:p w14:paraId="7DEA3F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 w:cs="Times New Roman"/>
          <w:b w:val="0"/>
          <w:bCs w:val="0"/>
          <w:sz w:val="32"/>
          <w:szCs w:val="32"/>
          <w:lang w:val="en-US" w:eastAsia="zh-CN"/>
        </w:rPr>
        <w:t>十</w:t>
      </w:r>
      <w:r>
        <w:rPr>
          <w:rFonts w:hint="eastAsia" w:ascii="Times New Roman" w:hAnsi="Times New Roman" w:eastAsia="黑体" w:cs="Times New Roman"/>
          <w:b w:val="0"/>
          <w:bCs w:val="0"/>
          <w:sz w:val="32"/>
          <w:szCs w:val="32"/>
          <w:lang w:eastAsia="zh-CN"/>
        </w:rPr>
        <w:t>、附件</w:t>
      </w:r>
    </w:p>
    <w:p w14:paraId="0066444C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76" w:lineRule="exact"/>
        <w:ind w:firstLine="640" w:firstLineChars="200"/>
        <w:textAlignment w:val="auto"/>
        <w:rPr>
          <w:rFonts w:hint="eastAsia" w:ascii="Times New Roman" w:hAnsi="Times New Roman" w:eastAsia="黑体" w:cs="Times New Roman"/>
          <w:b w:val="0"/>
          <w:bCs w:val="0"/>
          <w:sz w:val="32"/>
          <w:szCs w:val="32"/>
          <w:lang w:eastAsia="zh-CN"/>
        </w:rPr>
      </w:pPr>
      <w:r>
        <w:rPr>
          <w:rFonts w:hint="eastAsia" w:eastAsia="仿宋_GB2312" w:cs="仿宋_GB2312"/>
          <w:sz w:val="32"/>
          <w:szCs w:val="32"/>
          <w:lang w:val="en-US" w:eastAsia="zh-CN"/>
        </w:rPr>
        <w:t>附件一：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天水市麦积区市场监督管理局2024年度食品快检项目支出绩效自评表</w:t>
      </w:r>
    </w:p>
    <w:p w14:paraId="5A79450D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76" w:lineRule="exact"/>
        <w:textAlignment w:val="auto"/>
        <w:rPr>
          <w:rFonts w:ascii="Times New Roman" w:hAnsi="Times New Roman"/>
        </w:rPr>
      </w:pPr>
    </w:p>
    <w:p w14:paraId="6C871D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560" w:firstLineChars="200"/>
        <w:textAlignment w:val="auto"/>
        <w:rPr>
          <w:rFonts w:ascii="Times New Roman" w:hAnsi="Times New Roman" w:eastAsia="黑体"/>
          <w:sz w:val="28"/>
          <w:szCs w:val="28"/>
        </w:rPr>
      </w:pPr>
    </w:p>
    <w:sectPr>
      <w:footerReference r:id="rId4" w:type="default"/>
      <w:pgSz w:w="11906" w:h="16838"/>
      <w:pgMar w:top="2098" w:right="1474" w:bottom="1984" w:left="1587" w:header="851" w:footer="1417" w:gutter="0"/>
      <w:paperSrc/>
      <w:pgNumType w:fmt="decimal" w:start="1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altName w:val="Wingdings"/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ingsoft UE">
    <w:panose1 w:val="02000100010000000000"/>
    <w:charset w:val="00"/>
    <w:family w:val="auto"/>
    <w:pitch w:val="default"/>
    <w:sig w:usb0="00000001" w:usb1="00004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9CAE6E">
    <w:pPr>
      <w:pStyle w:val="6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FAD2B9">
    <w:pPr>
      <w:pStyle w:val="6"/>
      <w:ind w:right="360"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9C825F7">
                          <w:pPr>
                            <w:pStyle w:val="6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9C825F7">
                    <w:pPr>
                      <w:pStyle w:val="6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2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6F41A2"/>
    <w:rsid w:val="029F29AE"/>
    <w:rsid w:val="145A2EDB"/>
    <w:rsid w:val="18BD74AA"/>
    <w:rsid w:val="1E62130A"/>
    <w:rsid w:val="1EBD0C36"/>
    <w:rsid w:val="22C6639A"/>
    <w:rsid w:val="24414377"/>
    <w:rsid w:val="24830993"/>
    <w:rsid w:val="2D9E4DD1"/>
    <w:rsid w:val="2F4F2815"/>
    <w:rsid w:val="310E2728"/>
    <w:rsid w:val="37FF1CED"/>
    <w:rsid w:val="38CB1EF9"/>
    <w:rsid w:val="39CB78FA"/>
    <w:rsid w:val="3EA56929"/>
    <w:rsid w:val="483D056E"/>
    <w:rsid w:val="4B4F25DA"/>
    <w:rsid w:val="4D4B2B07"/>
    <w:rsid w:val="4FAE74FE"/>
    <w:rsid w:val="54DA3C90"/>
    <w:rsid w:val="550945C2"/>
    <w:rsid w:val="559D089E"/>
    <w:rsid w:val="59B2572E"/>
    <w:rsid w:val="5A376D05"/>
    <w:rsid w:val="5DA36C6E"/>
    <w:rsid w:val="5E537355"/>
    <w:rsid w:val="64C92AC3"/>
    <w:rsid w:val="698A4D7F"/>
    <w:rsid w:val="718D3AA0"/>
    <w:rsid w:val="75F35577"/>
    <w:rsid w:val="771E62D8"/>
    <w:rsid w:val="7BB14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iPriority="39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2">
    <w:name w:val="heading 4"/>
    <w:basedOn w:val="1"/>
    <w:next w:val="1"/>
    <w:unhideWhenUsed/>
    <w:qFormat/>
    <w:uiPriority w:val="9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5"/>
    <w:unhideWhenUsed/>
    <w:qFormat/>
    <w:uiPriority w:val="99"/>
    <w:pPr>
      <w:spacing w:after="120"/>
    </w:pPr>
  </w:style>
  <w:style w:type="paragraph" w:styleId="5">
    <w:name w:val="toc 5"/>
    <w:basedOn w:val="1"/>
    <w:next w:val="1"/>
    <w:unhideWhenUsed/>
    <w:qFormat/>
    <w:uiPriority w:val="39"/>
    <w:pPr>
      <w:spacing w:line="600" w:lineRule="exact"/>
      <w:ind w:firstLine="720" w:firstLineChars="200"/>
    </w:pPr>
    <w:rPr>
      <w:rFonts w:ascii="Calibri" w:hAnsi="Calibri"/>
    </w:rPr>
  </w:style>
  <w:style w:type="paragraph" w:styleId="6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11">
    <w:name w:val="闻政-正文段落文字"/>
    <w:basedOn w:val="1"/>
    <w:qFormat/>
    <w:uiPriority w:val="3"/>
    <w:pPr>
      <w:spacing w:line="500" w:lineRule="exact"/>
      <w:ind w:firstLine="200"/>
    </w:pPr>
    <w:rPr>
      <w:rFonts w:ascii="Times New Roman" w:hAnsi="Times New Roman" w:cs="Times New Roman"/>
      <w:kern w:val="0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1588</Words>
  <Characters>1612</Characters>
  <Lines>0</Lines>
  <Paragraphs>0</Paragraphs>
  <TotalTime>11</TotalTime>
  <ScaleCrop>false</ScaleCrop>
  <LinksUpToDate>false</LinksUpToDate>
  <CharactersWithSpaces>1726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2025-07-24T02:05:00Z</dcterms:created>
  <dc:creator>Administrator</dc:creator>
  <cp:lastModifiedBy>镜夜天</cp:lastModifiedBy>
  <dcterms:modified xsi:type="dcterms:W3CDTF">2025-09-01T09:43:28Z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eyJoZGlkIjoiYzcxNTZhNjc5Zjc5NTI0NzZhYTdjYTg4NDE3ZThkMmMiLCJ1c2VySWQiOiIzMzQ4NDY3NDMifQ==</vt:lpwstr>
  </property>
  <property fmtid="{D5CDD505-2E9C-101B-9397-08002B2CF9AE}" pid="4" name="ICV">
    <vt:lpwstr>35C95FAB6F804331A117256071808F0E_13</vt:lpwstr>
  </property>
</Properties>
</file>