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A86BF2">
      <w:pPr>
        <w:spacing w:line="700" w:lineRule="exact"/>
        <w:jc w:val="center"/>
        <w:rPr>
          <w:rFonts w:hint="eastAsia" w:ascii="Times New Roman" w:hAnsi="Times New Roman" w:eastAsia="方正小标宋简体" w:cs="Times New Roman"/>
          <w:bCs/>
          <w:sz w:val="44"/>
          <w:szCs w:val="44"/>
          <w:lang w:val="en-US" w:eastAsia="zh-CN"/>
        </w:rPr>
      </w:pPr>
      <w:bookmarkStart w:id="0" w:name="_GoBack"/>
      <w:bookmarkEnd w:id="0"/>
    </w:p>
    <w:p w14:paraId="7C5C0F69">
      <w:pPr>
        <w:spacing w:line="700" w:lineRule="exact"/>
        <w:jc w:val="center"/>
        <w:rPr>
          <w:rFonts w:hint="eastAsia" w:ascii="Times New Roman" w:hAnsi="Times New Roman" w:eastAsia="方正小标宋简体"/>
          <w:bCs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bCs/>
          <w:sz w:val="44"/>
          <w:szCs w:val="44"/>
          <w:lang w:val="en-US" w:eastAsia="zh-CN"/>
        </w:rPr>
        <w:t>新开办企业免费刻章</w:t>
      </w:r>
      <w:r>
        <w:rPr>
          <w:rFonts w:hint="eastAsia" w:ascii="Times New Roman" w:hAnsi="Times New Roman" w:eastAsia="方正小标宋简体"/>
          <w:bCs/>
          <w:sz w:val="44"/>
          <w:szCs w:val="44"/>
        </w:rPr>
        <w:t>项目支出绩效</w:t>
      </w:r>
    </w:p>
    <w:p w14:paraId="7319FC50">
      <w:pPr>
        <w:spacing w:line="700" w:lineRule="exact"/>
        <w:jc w:val="center"/>
        <w:rPr>
          <w:rFonts w:hint="eastAsia" w:ascii="Times New Roman" w:hAnsi="Times New Roman" w:eastAsia="方正小标宋简体"/>
          <w:bCs/>
          <w:sz w:val="44"/>
          <w:szCs w:val="44"/>
        </w:rPr>
      </w:pPr>
      <w:r>
        <w:rPr>
          <w:rFonts w:hint="eastAsia" w:ascii="Times New Roman" w:hAnsi="Times New Roman" w:eastAsia="方正小标宋简体"/>
          <w:bCs/>
          <w:sz w:val="44"/>
          <w:szCs w:val="44"/>
        </w:rPr>
        <w:t>自评报告</w:t>
      </w:r>
    </w:p>
    <w:p w14:paraId="17A753C4">
      <w:pPr>
        <w:spacing w:line="348" w:lineRule="auto"/>
        <w:jc w:val="center"/>
        <w:rPr>
          <w:rFonts w:hint="eastAsia" w:ascii="Times New Roman" w:hAnsi="Times New Roman" w:eastAsia="楷体_GB2312"/>
          <w:bCs/>
          <w:szCs w:val="32"/>
        </w:rPr>
      </w:pPr>
    </w:p>
    <w:p w14:paraId="5A88A581">
      <w:pPr>
        <w:spacing w:line="348" w:lineRule="auto"/>
        <w:jc w:val="center"/>
        <w:rPr>
          <w:rFonts w:hint="eastAsia" w:ascii="Times New Roman" w:hAnsi="Times New Roman" w:eastAsia="楷体_GB2312"/>
          <w:bCs/>
          <w:szCs w:val="32"/>
        </w:rPr>
      </w:pPr>
    </w:p>
    <w:p w14:paraId="69446081">
      <w:pPr>
        <w:spacing w:line="348" w:lineRule="auto"/>
        <w:jc w:val="center"/>
        <w:rPr>
          <w:rFonts w:hint="eastAsia" w:ascii="Times New Roman" w:hAnsi="Times New Roman" w:eastAsia="楷体_GB2312"/>
          <w:bCs/>
          <w:szCs w:val="32"/>
        </w:rPr>
      </w:pPr>
    </w:p>
    <w:p w14:paraId="0462F21A">
      <w:pPr>
        <w:spacing w:line="348" w:lineRule="auto"/>
        <w:jc w:val="center"/>
        <w:rPr>
          <w:rFonts w:hint="eastAsia" w:ascii="Times New Roman" w:hAnsi="Times New Roman" w:eastAsia="楷体_GB2312"/>
          <w:bCs/>
          <w:szCs w:val="32"/>
        </w:rPr>
      </w:pPr>
    </w:p>
    <w:p w14:paraId="534A17BA">
      <w:pPr>
        <w:spacing w:line="348" w:lineRule="auto"/>
        <w:jc w:val="center"/>
        <w:rPr>
          <w:rFonts w:hint="eastAsia" w:ascii="Times New Roman" w:hAnsi="Times New Roman" w:eastAsia="楷体_GB2312"/>
          <w:bCs/>
          <w:szCs w:val="32"/>
        </w:rPr>
      </w:pPr>
    </w:p>
    <w:p w14:paraId="19CA60F9">
      <w:pPr>
        <w:spacing w:line="348" w:lineRule="auto"/>
        <w:jc w:val="center"/>
        <w:rPr>
          <w:rFonts w:hint="eastAsia" w:ascii="Times New Roman" w:hAnsi="Times New Roman" w:eastAsia="楷体_GB2312"/>
          <w:bCs/>
          <w:szCs w:val="32"/>
        </w:rPr>
      </w:pPr>
    </w:p>
    <w:p w14:paraId="28F1F3EB">
      <w:pPr>
        <w:ind w:firstLine="640" w:firstLineChars="200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评价类型：项目实施过程评价□   项目完成结果评价</w:t>
      </w:r>
      <w:r>
        <w:rPr>
          <w:rFonts w:hint="eastAsia" w:ascii="Times New Roman" w:hAnsi="Times New Roman" w:eastAsia="仿宋_GB2312" w:cs="仿宋_GB2312"/>
          <w:sz w:val="32"/>
          <w:szCs w:val="32"/>
        </w:rPr>
        <w:sym w:font="Wingdings 2" w:char="0052"/>
      </w:r>
    </w:p>
    <w:p w14:paraId="32C024D3">
      <w:pPr>
        <w:spacing w:before="156" w:beforeLines="50" w:line="348" w:lineRule="auto"/>
        <w:ind w:firstLine="1120" w:firstLineChars="350"/>
        <w:rPr>
          <w:rFonts w:hint="eastAsia" w:ascii="Times New Roman" w:hAnsi="Times New Roman" w:eastAsia="仿宋_GB2312" w:cs="仿宋_GB2312"/>
          <w:sz w:val="32"/>
          <w:szCs w:val="32"/>
          <w:u w:val="single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项目名称</w:t>
      </w:r>
      <w:r>
        <w:rPr>
          <w:rFonts w:hint="eastAsia" w:ascii="Times New Roman" w:hAnsi="Times New Roman" w:eastAsia="仿宋_GB2312" w:cs="仿宋_GB2312"/>
          <w:sz w:val="32"/>
          <w:szCs w:val="32"/>
          <w:u w:val="single"/>
        </w:rPr>
        <w:t xml:space="preserve">  </w:t>
      </w:r>
      <w:r>
        <w:rPr>
          <w:rFonts w:hint="eastAsia" w:ascii="Times New Roman" w:hAnsi="Times New Roman" w:eastAsia="仿宋_GB2312" w:cs="仿宋_GB2312"/>
          <w:sz w:val="32"/>
          <w:szCs w:val="32"/>
          <w:u w:val="single"/>
          <w:lang w:val="en-US" w:eastAsia="zh-CN"/>
        </w:rPr>
        <w:t>新开办企业免费刻章</w:t>
      </w:r>
      <w:r>
        <w:rPr>
          <w:rFonts w:hint="eastAsia" w:ascii="Times New Roman" w:hAnsi="Times New Roman" w:eastAsia="仿宋_GB2312" w:cs="仿宋_GB2312"/>
          <w:sz w:val="32"/>
          <w:szCs w:val="32"/>
          <w:u w:val="single"/>
        </w:rPr>
        <w:t xml:space="preserve">          </w:t>
      </w:r>
      <w:r>
        <w:rPr>
          <w:rFonts w:hint="eastAsia" w:ascii="Times New Roman" w:hAnsi="Times New Roman" w:eastAsia="仿宋_GB2312" w:cs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仿宋_GB2312"/>
          <w:sz w:val="32"/>
          <w:szCs w:val="32"/>
          <w:u w:val="single"/>
        </w:rPr>
        <w:t xml:space="preserve">    </w:t>
      </w:r>
    </w:p>
    <w:p w14:paraId="3EAF9D97">
      <w:pPr>
        <w:spacing w:before="156" w:beforeLines="50" w:line="348" w:lineRule="auto"/>
        <w:ind w:firstLine="1120" w:firstLineChars="350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项目单位</w:t>
      </w:r>
      <w:r>
        <w:rPr>
          <w:rFonts w:hint="eastAsia" w:ascii="Times New Roman" w:hAnsi="Times New Roman" w:eastAsia="仿宋_GB2312" w:cs="仿宋_GB2312"/>
          <w:sz w:val="32"/>
          <w:szCs w:val="32"/>
          <w:u w:val="single"/>
        </w:rPr>
        <w:t xml:space="preserve">  </w:t>
      </w:r>
      <w:r>
        <w:rPr>
          <w:rFonts w:hint="eastAsia" w:ascii="Times New Roman" w:hAnsi="Times New Roman" w:eastAsia="仿宋_GB2312" w:cs="仿宋_GB2312"/>
          <w:sz w:val="32"/>
          <w:szCs w:val="32"/>
          <w:u w:val="single"/>
          <w:lang w:val="en-US" w:eastAsia="zh-CN"/>
        </w:rPr>
        <w:t>天水市麦积区市场监督管理局</w:t>
      </w:r>
      <w:r>
        <w:rPr>
          <w:rFonts w:hint="eastAsia" w:ascii="Times New Roman" w:hAnsi="Times New Roman" w:eastAsia="仿宋_GB2312" w:cs="仿宋_GB2312"/>
          <w:sz w:val="32"/>
          <w:szCs w:val="32"/>
          <w:u w:val="single"/>
        </w:rPr>
        <w:t xml:space="preserve">       </w:t>
      </w:r>
    </w:p>
    <w:p w14:paraId="40584E07">
      <w:pPr>
        <w:spacing w:before="156" w:beforeLines="50" w:line="348" w:lineRule="auto"/>
        <w:ind w:firstLine="1120" w:firstLineChars="350"/>
        <w:rPr>
          <w:rFonts w:hint="eastAsia" w:ascii="Times New Roman" w:hAnsi="Times New Roman" w:eastAsia="仿宋_GB2312" w:cs="仿宋_GB2312"/>
          <w:sz w:val="32"/>
          <w:szCs w:val="32"/>
          <w:u w:val="single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主管部门</w:t>
      </w:r>
      <w:r>
        <w:rPr>
          <w:rFonts w:hint="eastAsia" w:ascii="Times New Roman" w:hAnsi="Times New Roman" w:eastAsia="仿宋_GB2312" w:cs="仿宋_GB2312"/>
          <w:sz w:val="32"/>
          <w:szCs w:val="32"/>
          <w:u w:val="single"/>
        </w:rPr>
        <w:t xml:space="preserve">  </w:t>
      </w:r>
      <w:r>
        <w:rPr>
          <w:rFonts w:hint="eastAsia" w:ascii="Times New Roman" w:hAnsi="Times New Roman" w:eastAsia="仿宋_GB2312" w:cs="仿宋_GB2312"/>
          <w:sz w:val="32"/>
          <w:szCs w:val="32"/>
          <w:u w:val="single"/>
          <w:lang w:val="en-US" w:eastAsia="zh-CN"/>
        </w:rPr>
        <w:t>天水市麦积区市场监督管理局</w:t>
      </w:r>
      <w:r>
        <w:rPr>
          <w:rFonts w:hint="eastAsia" w:ascii="Times New Roman" w:hAnsi="Times New Roman" w:eastAsia="仿宋_GB2312" w:cs="仿宋_GB2312"/>
          <w:sz w:val="32"/>
          <w:szCs w:val="32"/>
          <w:u w:val="single"/>
        </w:rPr>
        <w:t xml:space="preserve">       </w:t>
      </w:r>
    </w:p>
    <w:p w14:paraId="1C4A8575">
      <w:pPr>
        <w:spacing w:before="156" w:beforeLines="50" w:line="348" w:lineRule="auto"/>
        <w:ind w:firstLine="1120" w:firstLineChars="350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评价方式：自评</w:t>
      </w:r>
      <w:r>
        <w:rPr>
          <w:rFonts w:hint="eastAsia" w:ascii="Times New Roman" w:hAnsi="Times New Roman" w:eastAsia="仿宋_GB2312" w:cs="仿宋_GB2312"/>
          <w:sz w:val="32"/>
          <w:szCs w:val="32"/>
        </w:rPr>
        <w:sym w:font="Wingdings 2" w:char="0052"/>
      </w:r>
      <w:r>
        <w:rPr>
          <w:rFonts w:hint="eastAsia" w:ascii="Times New Roman" w:hAnsi="Times New Roman" w:eastAsia="仿宋_GB2312" w:cs="仿宋_GB2312"/>
          <w:sz w:val="32"/>
          <w:szCs w:val="32"/>
        </w:rPr>
        <w:t>/评价□/再评价□</w:t>
      </w:r>
    </w:p>
    <w:p w14:paraId="4B9672CA">
      <w:pPr>
        <w:spacing w:before="156" w:beforeLines="50" w:line="348" w:lineRule="auto"/>
        <w:ind w:firstLine="1120" w:firstLineChars="350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评价机构：部门（单位）评价组</w:t>
      </w:r>
      <w:r>
        <w:rPr>
          <w:rFonts w:hint="eastAsia" w:ascii="Times New Roman" w:hAnsi="Times New Roman" w:eastAsia="仿宋_GB2312" w:cs="仿宋_GB2312"/>
          <w:sz w:val="32"/>
          <w:szCs w:val="32"/>
        </w:rPr>
        <w:sym w:font="Wingdings 2" w:char="0052"/>
      </w:r>
      <w:r>
        <w:rPr>
          <w:rFonts w:hint="eastAsia" w:ascii="Times New Roman" w:hAnsi="Times New Roman" w:eastAsia="仿宋_GB2312" w:cs="仿宋_GB2312"/>
          <w:sz w:val="32"/>
          <w:szCs w:val="32"/>
        </w:rPr>
        <w:t xml:space="preserve">/第三方机构□   </w:t>
      </w:r>
    </w:p>
    <w:p w14:paraId="369CBC1D">
      <w:pPr>
        <w:spacing w:line="348" w:lineRule="auto"/>
        <w:jc w:val="center"/>
        <w:rPr>
          <w:rFonts w:hint="eastAsia" w:ascii="Times New Roman" w:hAnsi="Times New Roman" w:eastAsia="仿宋_GB2312" w:cs="仿宋_GB2312"/>
          <w:sz w:val="32"/>
          <w:szCs w:val="32"/>
        </w:rPr>
      </w:pPr>
    </w:p>
    <w:p w14:paraId="50F018DD">
      <w:pPr>
        <w:spacing w:line="348" w:lineRule="auto"/>
        <w:jc w:val="center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报告日期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2025</w:t>
      </w:r>
      <w:r>
        <w:rPr>
          <w:rFonts w:hint="eastAsia" w:ascii="Times New Roman" w:hAnsi="Times New Roman" w:eastAsia="仿宋_GB2312" w:cs="仿宋_GB2312"/>
          <w:sz w:val="32"/>
          <w:szCs w:val="32"/>
        </w:rPr>
        <w:t xml:space="preserve"> 年 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 w:eastAsia="仿宋_GB2312" w:cs="仿宋_GB2312"/>
          <w:sz w:val="32"/>
          <w:szCs w:val="32"/>
        </w:rPr>
        <w:t xml:space="preserve"> 月 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Times New Roman" w:hAnsi="Times New Roman" w:eastAsia="仿宋_GB2312" w:cs="仿宋_GB2312"/>
          <w:sz w:val="32"/>
          <w:szCs w:val="32"/>
        </w:rPr>
        <w:t xml:space="preserve"> 日</w:t>
      </w:r>
    </w:p>
    <w:p w14:paraId="2DC36C23">
      <w:pPr>
        <w:spacing w:line="348" w:lineRule="auto"/>
        <w:jc w:val="center"/>
        <w:rPr>
          <w:rFonts w:hint="eastAsia" w:ascii="Times New Roman" w:hAnsi="Times New Roman" w:eastAsia="仿宋_GB2312" w:cs="仿宋_GB2312"/>
          <w:sz w:val="32"/>
          <w:szCs w:val="32"/>
        </w:rPr>
      </w:pPr>
    </w:p>
    <w:p w14:paraId="226FBE8C">
      <w:pPr>
        <w:snapToGrid w:val="0"/>
        <w:spacing w:line="700" w:lineRule="exact"/>
        <w:jc w:val="center"/>
        <w:rPr>
          <w:rFonts w:hint="eastAsia" w:ascii="Times New Roman" w:hAnsi="Times New Roman" w:eastAsia="方正小标宋简体"/>
          <w:sz w:val="44"/>
          <w:szCs w:val="44"/>
        </w:rPr>
      </w:pPr>
    </w:p>
    <w:p w14:paraId="7F695195">
      <w:pPr>
        <w:snapToGrid w:val="0"/>
        <w:spacing w:line="700" w:lineRule="exact"/>
        <w:jc w:val="both"/>
        <w:rPr>
          <w:rFonts w:hint="eastAsia" w:ascii="Times New Roman" w:hAnsi="Times New Roman" w:eastAsia="方正小标宋简体"/>
          <w:sz w:val="44"/>
          <w:szCs w:val="44"/>
        </w:rPr>
      </w:pPr>
    </w:p>
    <w:p w14:paraId="49BB868E">
      <w:pPr>
        <w:snapToGrid w:val="0"/>
        <w:spacing w:line="700" w:lineRule="exact"/>
        <w:jc w:val="both"/>
        <w:rPr>
          <w:rFonts w:hint="eastAsia" w:ascii="Times New Roman" w:hAnsi="Times New Roman" w:eastAsia="方正小标宋简体"/>
          <w:sz w:val="44"/>
          <w:szCs w:val="44"/>
        </w:rPr>
        <w:sectPr>
          <w:footerReference r:id="rId3" w:type="default"/>
          <w:pgSz w:w="11906" w:h="16838"/>
          <w:pgMar w:top="2098" w:right="1474" w:bottom="1984" w:left="1587" w:header="851" w:footer="1417" w:gutter="0"/>
          <w:paperSrc/>
          <w:pgNumType w:fmt="decimal"/>
          <w:cols w:space="0" w:num="1"/>
          <w:rtlGutter w:val="0"/>
          <w:docGrid w:type="lines" w:linePitch="312" w:charSpace="0"/>
        </w:sectPr>
      </w:pPr>
    </w:p>
    <w:p w14:paraId="2B46DA5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576" w:lineRule="exact"/>
        <w:jc w:val="center"/>
        <w:rPr>
          <w:rFonts w:hint="eastAsia" w:ascii="Times New Roman" w:hAnsi="Times New Roman" w:eastAsia="方正小标宋简体"/>
          <w:sz w:val="44"/>
          <w:szCs w:val="44"/>
        </w:rPr>
      </w:pPr>
      <w:r>
        <w:rPr>
          <w:rFonts w:hint="eastAsia" w:ascii="Times New Roman" w:hAnsi="Times New Roman" w:eastAsia="方正小标宋简体"/>
          <w:sz w:val="44"/>
          <w:szCs w:val="44"/>
        </w:rPr>
        <w:t>项目支出绩效自评报告</w:t>
      </w:r>
    </w:p>
    <w:p w14:paraId="3FE032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Times New Roman" w:hAnsi="Times New Roman" w:eastAsia="黑体"/>
          <w:sz w:val="28"/>
          <w:szCs w:val="28"/>
        </w:rPr>
      </w:pPr>
    </w:p>
    <w:p w14:paraId="00760B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Style w:val="9"/>
          <w:rFonts w:hint="eastAsia" w:ascii="Times New Roman" w:hAnsi="Times New Roman" w:eastAsia="黑体" w:cs="黑体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CN"/>
        </w:rPr>
      </w:pPr>
      <w:r>
        <w:rPr>
          <w:rStyle w:val="9"/>
          <w:rFonts w:hint="eastAsia" w:ascii="Times New Roman" w:hAnsi="Times New Roman" w:eastAsia="黑体" w:cs="黑体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CN"/>
        </w:rPr>
        <w:t>一、项目基本情况</w:t>
      </w:r>
    </w:p>
    <w:p w14:paraId="38DB51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_GB2312" w:cs="楷体_GB2312"/>
          <w:b w:val="0"/>
          <w:bCs w:val="0"/>
          <w:sz w:val="32"/>
          <w:szCs w:val="32"/>
          <w:lang w:val="en-US" w:eastAsia="zh-CN"/>
        </w:rPr>
        <w:t>（一）项目立项背景</w:t>
      </w:r>
    </w:p>
    <w:p w14:paraId="5C02666B">
      <w:pPr>
        <w:pStyle w:val="5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6" w:lineRule="exact"/>
        <w:ind w:right="0" w:firstLine="640" w:firstLineChars="200"/>
        <w:jc w:val="both"/>
        <w:textAlignment w:val="baseline"/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根据省委办公厅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 xml:space="preserve"> 省人民政府办公厅关于印发</w:t>
      </w:r>
      <w:r>
        <w:rPr>
          <w:rFonts w:hint="eastAsia" w:ascii="Times New Roman" w:hAnsi="Times New Roman" w:eastAsia="仿宋_GB2312" w:cs="仿宋_GB2312"/>
          <w:sz w:val="32"/>
          <w:szCs w:val="32"/>
        </w:rPr>
        <w:t>《全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省</w:t>
      </w:r>
      <w:r>
        <w:rPr>
          <w:rFonts w:hint="eastAsia" w:ascii="Times New Roman" w:hAnsi="Times New Roman" w:eastAsia="仿宋_GB2312" w:cs="仿宋_GB2312"/>
          <w:sz w:val="32"/>
          <w:szCs w:val="32"/>
        </w:rPr>
        <w:t>优化营商环境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攻坚突破年行动方案</w:t>
      </w:r>
      <w:r>
        <w:rPr>
          <w:rFonts w:hint="eastAsia" w:ascii="Times New Roman" w:hAnsi="Times New Roman" w:eastAsia="仿宋_GB2312" w:cs="仿宋_GB2312"/>
          <w:sz w:val="32"/>
          <w:szCs w:val="32"/>
        </w:rPr>
        <w:t>》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的通知</w:t>
      </w:r>
      <w:r>
        <w:rPr>
          <w:rFonts w:hint="eastAsia" w:ascii="Times New Roman" w:hAnsi="Times New Roman" w:eastAsia="仿宋_GB2312" w:cs="仿宋_GB2312"/>
          <w:sz w:val="32"/>
          <w:szCs w:val="32"/>
        </w:rPr>
        <w:t>（甘办发〔202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仿宋_GB2312"/>
          <w:sz w:val="32"/>
          <w:szCs w:val="32"/>
        </w:rPr>
        <w:t>〕1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仿宋_GB2312"/>
          <w:sz w:val="32"/>
          <w:szCs w:val="32"/>
        </w:rPr>
        <w:t>号）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精神、区委办公室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 xml:space="preserve">  区政府办公室关于印发《天水市麦积区优化营商环境攻坚突破年实施方案》的通知（区委办发</w:t>
      </w:r>
      <w:r>
        <w:rPr>
          <w:rFonts w:hint="eastAsia" w:ascii="Times New Roman" w:hAnsi="Times New Roman" w:eastAsia="仿宋_GB2312" w:cs="仿宋_GB2312"/>
          <w:sz w:val="32"/>
          <w:szCs w:val="32"/>
        </w:rPr>
        <w:t>〔202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仿宋_GB2312"/>
          <w:sz w:val="32"/>
          <w:szCs w:val="32"/>
        </w:rPr>
        <w:t>〕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37</w:t>
      </w:r>
      <w:r>
        <w:rPr>
          <w:rFonts w:hint="eastAsia" w:ascii="Times New Roman" w:hAnsi="Times New Roman" w:eastAsia="仿宋_GB2312" w:cs="仿宋_GB2312"/>
          <w:sz w:val="32"/>
          <w:szCs w:val="32"/>
        </w:rPr>
        <w:t>号）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精神，为落实新开办企业免费刻章要求，进一步优化企业开办服务，实现企业开办“一日”办结的便利化改革目标，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需给辖区新开办企业免费刻章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。</w:t>
      </w:r>
    </w:p>
    <w:p w14:paraId="34567E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_GB2312" w:cs="楷体_GB2312"/>
          <w:b w:val="0"/>
          <w:bCs w:val="0"/>
          <w:sz w:val="32"/>
          <w:szCs w:val="32"/>
          <w:lang w:val="en-US" w:eastAsia="zh-CN"/>
        </w:rPr>
        <w:t>（二）项目预算安排及使用情况</w:t>
      </w:r>
    </w:p>
    <w:p w14:paraId="310099E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项目年初预算资金为10万元，</w:t>
      </w:r>
      <w:r>
        <w:rPr>
          <w:rFonts w:hint="eastAsia" w:ascii="Times New Roman" w:hAnsi="Times New Roman" w:eastAsia="仿宋_GB2312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后指标冻结并收回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val="en-US" w:eastAsia="zh-CN" w:bidi="ar"/>
        </w:rPr>
        <w:t>。与刻章企业合作，制定了免费刻章服务方案，并进行了广泛宣传，为新开办企业提供了便捷的刻章服务，真正实现企业开办“零成本”。</w:t>
      </w:r>
    </w:p>
    <w:p w14:paraId="5B14F6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_GB2312" w:cs="楷体_GB2312"/>
          <w:b w:val="0"/>
          <w:bCs w:val="0"/>
          <w:sz w:val="32"/>
          <w:szCs w:val="32"/>
          <w:lang w:val="en-US" w:eastAsia="zh-CN"/>
        </w:rPr>
        <w:t>（三）项目计划内容及实施情况</w:t>
      </w:r>
    </w:p>
    <w:p w14:paraId="4F882FE7">
      <w:pPr>
        <w:pStyle w:val="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rPr>
          <w:rFonts w:hint="eastAsia" w:ascii="Times New Roman" w:hAnsi="Times New Roman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val="en-US" w:eastAsia="zh-CN" w:bidi="ar"/>
        </w:rPr>
        <w:t>新开办企业免费刻章服务，是进一步优化营商环境的有效举措，减轻了新开办企业的经济负担，提高了他们的运营效率，促进了市场主体的健康发展。</w:t>
      </w:r>
    </w:p>
    <w:p w14:paraId="5F4E6A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_GB2312" w:cs="楷体_GB2312"/>
          <w:b w:val="0"/>
          <w:bCs w:val="0"/>
          <w:sz w:val="32"/>
          <w:szCs w:val="32"/>
          <w:lang w:val="en-US" w:eastAsia="zh-CN"/>
        </w:rPr>
        <w:t>（四）项目组织管理情况</w:t>
      </w:r>
    </w:p>
    <w:p w14:paraId="5560B16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Chars="195" w:firstLine="640" w:firstLineChars="200"/>
        <w:textAlignment w:val="auto"/>
        <w:rPr>
          <w:rFonts w:hint="default" w:ascii="Times New Roman" w:hAnsi="Times New Roman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仿宋_GB2312"/>
          <w:kern w:val="0"/>
          <w:sz w:val="32"/>
          <w:szCs w:val="32"/>
          <w:lang w:val="en-US" w:eastAsia="zh-CN" w:bidi="ar"/>
        </w:rPr>
        <w:t>建立绩效管理制度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val="en-US" w:eastAsia="zh-CN" w:bidi="ar"/>
        </w:rPr>
        <w:t>，</w:t>
      </w:r>
      <w:r>
        <w:rPr>
          <w:rFonts w:hint="default" w:ascii="Times New Roman" w:hAnsi="Times New Roman" w:eastAsia="仿宋_GB2312" w:cs="仿宋_GB2312"/>
          <w:kern w:val="0"/>
          <w:sz w:val="32"/>
          <w:szCs w:val="32"/>
          <w:lang w:val="en-US" w:eastAsia="zh-CN" w:bidi="ar"/>
        </w:rPr>
        <w:t>明确绩效管理的目标、原则、内容、方法和程序，建立绩效管理的组织体系和工作机制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val="en-US" w:eastAsia="zh-CN" w:bidi="ar"/>
        </w:rPr>
        <w:t>，</w:t>
      </w:r>
      <w:r>
        <w:rPr>
          <w:rFonts w:hint="default" w:ascii="Times New Roman" w:hAnsi="Times New Roman" w:eastAsia="仿宋_GB2312" w:cs="仿宋_GB2312"/>
          <w:kern w:val="0"/>
          <w:sz w:val="32"/>
          <w:szCs w:val="32"/>
          <w:lang w:val="en-US" w:eastAsia="zh-CN" w:bidi="ar"/>
        </w:rPr>
        <w:t>确保绩效管理工作的顺利开展。</w:t>
      </w:r>
    </w:p>
    <w:p w14:paraId="249199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宋体" w:cs="宋体"/>
          <w:b/>
          <w:bCs/>
          <w:sz w:val="32"/>
          <w:szCs w:val="40"/>
        </w:rPr>
      </w:pPr>
      <w:r>
        <w:rPr>
          <w:rStyle w:val="9"/>
          <w:rFonts w:hint="eastAsia" w:ascii="Times New Roman" w:hAnsi="Times New Roman" w:eastAsia="黑体" w:cs="黑体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CN"/>
        </w:rPr>
        <w:t>二、项目绩效目标</w:t>
      </w:r>
    </w:p>
    <w:p w14:paraId="0ECA0A5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Chars="195" w:firstLine="640" w:firstLineChars="200"/>
        <w:textAlignment w:val="auto"/>
        <w:rPr>
          <w:rFonts w:hint="eastAsia" w:ascii="Times New Roman" w:hAnsi="Times New Roman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val="en-US" w:eastAsia="zh-CN" w:bidi="ar"/>
        </w:rPr>
        <w:t>2024年为新开办企业免费刻章1207套，全年免费刻章费用为58.286万元，资金待支付。</w:t>
      </w:r>
    </w:p>
    <w:p w14:paraId="07BEBF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宋体" w:cs="宋体"/>
          <w:b/>
          <w:bCs/>
          <w:sz w:val="32"/>
          <w:szCs w:val="40"/>
        </w:rPr>
      </w:pPr>
      <w:r>
        <w:rPr>
          <w:rStyle w:val="9"/>
          <w:rFonts w:hint="eastAsia" w:ascii="Times New Roman" w:hAnsi="Times New Roman" w:eastAsia="黑体" w:cs="黑体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CN"/>
        </w:rPr>
        <w:t>三、评价基本情况</w:t>
      </w:r>
    </w:p>
    <w:p w14:paraId="00561A8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rPr>
          <w:rFonts w:hint="eastAsia" w:ascii="Times New Roman" w:hAnsi="Times New Roman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_GB2312" w:cs="楷体_GB2312"/>
          <w:b w:val="0"/>
          <w:bCs w:val="0"/>
          <w:sz w:val="32"/>
          <w:szCs w:val="32"/>
          <w:lang w:val="en-US" w:eastAsia="zh-CN"/>
        </w:rPr>
        <w:t>（一）评价目的</w:t>
      </w:r>
    </w:p>
    <w:p w14:paraId="48212F6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rPr>
          <w:rFonts w:hint="eastAsia" w:ascii="Times New Roman" w:hAnsi="Times New Roman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val="en-US" w:eastAsia="zh-CN" w:bidi="ar"/>
        </w:rPr>
        <w:t>通过评价项目资金使用效率、产出成果及社会效益，总结经验，为后续项目优化提供依据，提升财政资金的投入效益。</w:t>
      </w:r>
    </w:p>
    <w:p w14:paraId="28C5D55C"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24" w:firstLineChars="195"/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  <w:t>（二）评价对象与范围</w:t>
      </w:r>
    </w:p>
    <w:p w14:paraId="4F42E519"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24" w:firstLineChars="195"/>
        <w:rPr>
          <w:rFonts w:hint="eastAsia" w:ascii="Times New Roman" w:hAnsi="Times New Roman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val="en-US" w:eastAsia="zh-CN" w:bidi="ar"/>
        </w:rPr>
        <w:t>涵盖项目全部资金支出，以及项目立项、预算编制与执行、项目产出和效益等各个环节。</w:t>
      </w:r>
    </w:p>
    <w:p w14:paraId="25F5D54C"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24" w:firstLineChars="195"/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  <w:t>（三）评价依据</w:t>
      </w:r>
    </w:p>
    <w:p w14:paraId="07ADBCDA"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24" w:firstLineChars="195"/>
        <w:rPr>
          <w:rFonts w:hint="eastAsia" w:ascii="Times New Roman" w:hAnsi="Times New Roman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val="en-US" w:eastAsia="zh-CN" w:bidi="ar"/>
        </w:rPr>
        <w:t>区委办发〔2023〕37号。</w:t>
      </w:r>
    </w:p>
    <w:p w14:paraId="3A323B3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  <w:t>（四）评价原则、评价方法</w:t>
      </w:r>
    </w:p>
    <w:p w14:paraId="448B169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rPr>
          <w:rFonts w:hint="eastAsia" w:ascii="Times New Roman" w:hAnsi="Times New Roman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val="en-US" w:eastAsia="zh-CN" w:bidi="ar"/>
        </w:rPr>
        <w:t>遵循科学规范、公开公正、分级分类、绩效相关的原则。</w:t>
      </w:r>
    </w:p>
    <w:p w14:paraId="07FACCA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  <w:t>（五）绩效评价指标体系</w:t>
      </w:r>
    </w:p>
    <w:p w14:paraId="4BD2B3A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rPr>
          <w:rFonts w:hint="eastAsia" w:ascii="Times New Roman" w:hAnsi="Times New Roman" w:eastAsia="仿宋" w:cs="仿宋"/>
          <w:sz w:val="32"/>
          <w:szCs w:val="40"/>
          <w:lang w:eastAsia="zh-CN"/>
        </w:rPr>
      </w:pP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val="en-US" w:eastAsia="zh-CN" w:bidi="ar"/>
        </w:rPr>
        <w:t>建立健全绩效评价指标体系。</w:t>
      </w:r>
    </w:p>
    <w:p w14:paraId="61FE61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left"/>
        <w:textAlignment w:val="auto"/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  <w:t>（六）评价人员组成</w:t>
      </w:r>
    </w:p>
    <w:p w14:paraId="116784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val="en-US" w:eastAsia="zh-CN" w:bidi="ar"/>
        </w:rPr>
        <w:t>领导小组组成人员及主要职责：组长张锦涛（区市场监管局党组成员）、副组长安宗敏（区市场监管局办公室主任）、成员：王小艳（会计）、杨洁（出纳）、卢美晨（办公室人员），领导小组下设办公室，安宗敏同志负责推进预算绩效管理工作的组织、协调与推动。</w:t>
      </w:r>
    </w:p>
    <w:p w14:paraId="6B78425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  <w:t>（七）绩效评价工作过程</w:t>
      </w:r>
    </w:p>
    <w:p w14:paraId="7C26BF4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rPr>
          <w:rFonts w:hint="eastAsia" w:ascii="Times New Roman" w:hAnsi="Times New Roman" w:eastAsia="仿宋" w:cs="仿宋"/>
          <w:sz w:val="32"/>
          <w:szCs w:val="40"/>
        </w:rPr>
      </w:pP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val="en-US" w:eastAsia="zh-CN" w:bidi="ar"/>
        </w:rPr>
        <w:t>通过前期准备、非现场评价、现场评价、综合分析、评价报告撰写等评价工作过程。</w:t>
      </w:r>
    </w:p>
    <w:p w14:paraId="4704D3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宋体" w:cs="宋体"/>
          <w:b/>
          <w:bCs/>
          <w:sz w:val="32"/>
          <w:szCs w:val="40"/>
        </w:rPr>
      </w:pPr>
      <w:r>
        <w:rPr>
          <w:rStyle w:val="9"/>
          <w:rFonts w:hint="eastAsia" w:ascii="Times New Roman" w:hAnsi="Times New Roman" w:eastAsia="黑体" w:cs="黑体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CN"/>
        </w:rPr>
        <w:t>四、评价结论及分析</w:t>
      </w:r>
    </w:p>
    <w:p w14:paraId="4DAD05A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  <w:t>（一）评分结果</w:t>
      </w:r>
    </w:p>
    <w:p w14:paraId="7B75B3C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rPr>
          <w:rFonts w:hint="eastAsia" w:ascii="Times New Roman" w:hAnsi="Times New Roman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val="en-US" w:eastAsia="zh-CN" w:bidi="ar"/>
        </w:rPr>
        <w:t>采用100分制，项目总得分为</w:t>
      </w:r>
      <w:r>
        <w:rPr>
          <w:rFonts w:hint="eastAsia" w:ascii="Times New Roman" w:hAnsi="Times New Roman" w:eastAsia="仿宋_GB2312" w:cs="仿宋_GB2312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90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val="en-US" w:eastAsia="zh-CN" w:bidi="ar"/>
        </w:rPr>
        <w:t>分，评价等级为“优”。</w:t>
      </w:r>
    </w:p>
    <w:p w14:paraId="2DD6BA5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  <w:t>（二）主要结论</w:t>
      </w:r>
    </w:p>
    <w:p w14:paraId="4C768CA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rPr>
          <w:rFonts w:hint="eastAsia" w:ascii="Times New Roman" w:hAnsi="Times New Roman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val="en-US" w:eastAsia="zh-CN" w:bidi="ar"/>
        </w:rPr>
        <w:t>项目决策合理，符合优化营商环境的政策导向，项目过程管理规范，效益显著，对激发市场主体活力起到了积极作用。</w:t>
      </w:r>
    </w:p>
    <w:p w14:paraId="62016B8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3" w:firstLineChars="200"/>
        <w:rPr>
          <w:rFonts w:hint="eastAsia" w:ascii="Times New Roman" w:hAnsi="Times New Roman" w:eastAsia="宋体" w:cs="宋体"/>
          <w:b/>
          <w:bCs/>
          <w:sz w:val="32"/>
          <w:szCs w:val="40"/>
        </w:rPr>
      </w:pPr>
      <w:r>
        <w:rPr>
          <w:rFonts w:hint="eastAsia" w:ascii="Times New Roman" w:hAnsi="Times New Roman" w:eastAsia="宋体" w:cs="宋体"/>
          <w:b/>
          <w:bCs/>
          <w:sz w:val="32"/>
          <w:szCs w:val="40"/>
        </w:rPr>
        <w:t>五、绩效评价指标分析</w:t>
      </w:r>
    </w:p>
    <w:p w14:paraId="478BED0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  <w:t>（一）项目决策情况</w:t>
      </w:r>
    </w:p>
    <w:p w14:paraId="44E062E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rPr>
          <w:rFonts w:hint="eastAsia" w:ascii="Times New Roman" w:hAnsi="Times New Roman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val="en-US" w:eastAsia="zh-CN" w:bidi="ar"/>
        </w:rPr>
        <w:t>项目立项依据充分，绩效目标明确，资金使用规范。</w:t>
      </w:r>
    </w:p>
    <w:p w14:paraId="041F85B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  <w:t>（二）项目过程情况</w:t>
      </w:r>
    </w:p>
    <w:p w14:paraId="1631C2E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rPr>
          <w:rFonts w:hint="eastAsia" w:ascii="Times New Roman" w:hAnsi="Times New Roman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val="en-US" w:eastAsia="zh-CN" w:bidi="ar"/>
        </w:rPr>
        <w:t>资金管理规范，严格按照预算执行，采购程序合规。</w:t>
      </w:r>
    </w:p>
    <w:p w14:paraId="74F0EEA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  <w:t>（三）项目产出情况</w:t>
      </w:r>
    </w:p>
    <w:p w14:paraId="3EBBA46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rPr>
          <w:rFonts w:hint="eastAsia" w:ascii="Times New Roman" w:hAnsi="Times New Roman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val="en-US" w:eastAsia="zh-CN" w:bidi="ar"/>
        </w:rPr>
        <w:t>完成了年度项目工作任务。</w:t>
      </w:r>
    </w:p>
    <w:p w14:paraId="54FED08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16" w:firstLineChars="200"/>
        <w:rPr>
          <w:rFonts w:hint="eastAsia" w:ascii="Times New Roman" w:hAnsi="Times New Roman" w:eastAsia="楷体_GB2312" w:cs="楷体_GB2312"/>
          <w:b w:val="0"/>
          <w:bCs w:val="0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楷体_GB2312" w:cs="楷体_GB2312"/>
          <w:b w:val="0"/>
          <w:bCs w:val="0"/>
          <w:spacing w:val="-6"/>
          <w:kern w:val="2"/>
          <w:sz w:val="32"/>
          <w:szCs w:val="32"/>
          <w:lang w:val="en-US" w:eastAsia="zh-CN" w:bidi="ar-SA"/>
        </w:rPr>
        <w:t>（四）项目效益情况</w:t>
      </w:r>
    </w:p>
    <w:p w14:paraId="45DBD20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16" w:firstLineChars="200"/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 w:bidi="ar"/>
        </w:rPr>
        <w:t>激发市场主体活力，辖区企业满意度提升。</w:t>
      </w:r>
    </w:p>
    <w:p w14:paraId="17B295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t>六</w:t>
      </w:r>
      <w:r>
        <w:rPr>
          <w:rFonts w:ascii="Times New Roman" w:hAnsi="Times New Roman" w:eastAsia="黑体" w:cs="Times New Roman"/>
          <w:sz w:val="32"/>
          <w:szCs w:val="32"/>
        </w:rPr>
        <w:t>、主要经验及做法</w:t>
      </w:r>
    </w:p>
    <w:p w14:paraId="1EAD436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rPr>
          <w:rFonts w:hint="eastAsia" w:ascii="Times New Roman" w:hAnsi="Times New Roman" w:eastAsia="仿宋_GB2312" w:cs="仿宋_GB2312"/>
          <w:color w:val="0000FF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仿宋_GB2312"/>
          <w:color w:val="auto"/>
          <w:sz w:val="32"/>
          <w:szCs w:val="32"/>
        </w:rPr>
        <w:t>免费刻章服务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  <w:lang w:eastAsia="zh-CN"/>
        </w:rPr>
        <w:t>是进一步优化营商环境的有效举措，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</w:rPr>
        <w:t>减轻了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  <w:lang w:eastAsia="zh-CN"/>
        </w:rPr>
        <w:t>新开办企业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</w:rPr>
        <w:t>的经济负担，提高了他们的运营效率，促进了市场主体的健康发展。</w:t>
      </w:r>
    </w:p>
    <w:p w14:paraId="1EC3D7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七、存在的问题</w:t>
      </w:r>
    </w:p>
    <w:p w14:paraId="1EAC22D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rPr>
          <w:rFonts w:hint="eastAsia" w:ascii="Times New Roman" w:hAnsi="Times New Roman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val="en-US" w:eastAsia="zh-CN" w:bidi="ar"/>
        </w:rPr>
        <w:t>对预算绩效评价管理认识不足，未建立单位绩效考核长效机制，对项目事前评估，事中实施，事后评价建立长效的跟踪评价体系不完善。</w:t>
      </w:r>
    </w:p>
    <w:p w14:paraId="354ED6C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3" w:firstLineChars="200"/>
        <w:rPr>
          <w:rFonts w:hint="eastAsia" w:ascii="Times New Roman" w:hAnsi="Times New Roman" w:eastAsia="宋体" w:cs="宋体"/>
          <w:b/>
          <w:bCs/>
          <w:sz w:val="32"/>
          <w:szCs w:val="40"/>
        </w:rPr>
      </w:pPr>
      <w:r>
        <w:rPr>
          <w:rFonts w:hint="eastAsia" w:ascii="Times New Roman" w:hAnsi="Times New Roman" w:eastAsia="宋体" w:cs="宋体"/>
          <w:b/>
          <w:bCs/>
          <w:sz w:val="32"/>
          <w:szCs w:val="40"/>
        </w:rPr>
        <w:t>八、有关建议</w:t>
      </w:r>
    </w:p>
    <w:p w14:paraId="28D2764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76" w:lineRule="exact"/>
        <w:ind w:firstLine="640" w:firstLineChars="200"/>
        <w:rPr>
          <w:rFonts w:hint="eastAsia" w:ascii="Times New Roman" w:hAnsi="Times New Roman" w:eastAsia="仿宋_GB2312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val="en-US" w:eastAsia="zh-CN" w:bidi="ar"/>
        </w:rPr>
        <w:t>完善管理机制，明确责任，构建一个职责分明、科学规范、具有可操作性的管理长效机制</w:t>
      </w:r>
      <w:r>
        <w:rPr>
          <w:rFonts w:hint="eastAsia" w:ascii="Times New Roman" w:hAnsi="Times New Roman" w:eastAsia="仿宋_GB2312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。</w:t>
      </w:r>
    </w:p>
    <w:p w14:paraId="0E930A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宋体" w:cs="宋体"/>
          <w:b/>
          <w:bCs/>
          <w:sz w:val="32"/>
          <w:szCs w:val="40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九、需要说明的问题</w:t>
      </w:r>
    </w:p>
    <w:p w14:paraId="341C6F7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76" w:lineRule="exact"/>
        <w:rPr>
          <w:rFonts w:hint="default" w:ascii="Times New Roman" w:hAnsi="Times New Roman" w:eastAsia="宋体" w:cs="宋体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宋体" w:cs="宋体"/>
          <w:b/>
          <w:bCs/>
          <w:sz w:val="32"/>
          <w:szCs w:val="40"/>
          <w:lang w:val="en-US" w:eastAsia="zh-CN"/>
        </w:rPr>
        <w:t xml:space="preserve">    </w:t>
      </w:r>
      <w:r>
        <w:rPr>
          <w:rFonts w:hint="eastAsia" w:ascii="Times New Roman" w:hAnsi="Times New Roman" w:eastAsia="仿宋" w:cs="仿宋"/>
          <w:sz w:val="32"/>
          <w:szCs w:val="40"/>
          <w:lang w:val="en-US" w:eastAsia="zh-CN"/>
        </w:rPr>
        <w:t>无</w:t>
      </w:r>
    </w:p>
    <w:p w14:paraId="7DEA3F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Times New Roman" w:hAnsi="Times New Roman" w:eastAsia="黑体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/>
          <w:sz w:val="32"/>
          <w:szCs w:val="32"/>
          <w:lang w:val="en-US" w:eastAsia="zh-CN"/>
        </w:rPr>
        <w:t>十</w:t>
      </w:r>
      <w:r>
        <w:rPr>
          <w:rFonts w:ascii="Times New Roman" w:hAnsi="Times New Roman" w:eastAsia="黑体"/>
          <w:sz w:val="32"/>
          <w:szCs w:val="32"/>
        </w:rPr>
        <w:t>、</w:t>
      </w:r>
      <w:r>
        <w:rPr>
          <w:rFonts w:hint="eastAsia" w:ascii="Times New Roman" w:hAnsi="Times New Roman" w:eastAsia="黑体" w:cs="黑体"/>
          <w:sz w:val="32"/>
          <w:szCs w:val="32"/>
        </w:rPr>
        <w:t>附件</w:t>
      </w:r>
    </w:p>
    <w:p w14:paraId="0066444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76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  <w:lang w:val="en-US" w:eastAsia="zh-CN" w:bidi="ar"/>
        </w:rPr>
        <w:t>附件一：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val="en-US" w:eastAsia="zh-CN" w:bidi="ar"/>
        </w:rPr>
        <w:t>天水市麦积区市场监督管理局2024年度食品快检项目支出绩效自评表</w:t>
      </w:r>
    </w:p>
    <w:p w14:paraId="14FD8C4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76" w:lineRule="exact"/>
        <w:rPr>
          <w:rFonts w:ascii="Times New Roman" w:hAnsi="Times New Roman"/>
        </w:rPr>
      </w:pPr>
    </w:p>
    <w:sectPr>
      <w:footerReference r:id="rId4" w:type="default"/>
      <w:pgSz w:w="11906" w:h="16838"/>
      <w:pgMar w:top="2098" w:right="1474" w:bottom="1984" w:left="1587" w:header="851" w:footer="1417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ingsoft UE">
    <w:panose1 w:val="02000100010000000000"/>
    <w:charset w:val="00"/>
    <w:family w:val="auto"/>
    <w:pitch w:val="default"/>
    <w:sig w:usb0="00000001" w:usb1="00004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9CAE6E"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E421D2">
    <w:pPr>
      <w:pStyle w:val="3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D8B8D31">
                          <w:pPr>
                            <w:pStyle w:val="3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D8B8D31">
                    <w:pPr>
                      <w:pStyle w:val="3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3A684C"/>
    <w:rsid w:val="064F292D"/>
    <w:rsid w:val="078878BF"/>
    <w:rsid w:val="0822060B"/>
    <w:rsid w:val="0AA95014"/>
    <w:rsid w:val="104430E9"/>
    <w:rsid w:val="129E2F84"/>
    <w:rsid w:val="1454145A"/>
    <w:rsid w:val="14BC6AA0"/>
    <w:rsid w:val="15B14237"/>
    <w:rsid w:val="17DA4C03"/>
    <w:rsid w:val="19C634EE"/>
    <w:rsid w:val="1FC658C9"/>
    <w:rsid w:val="24551504"/>
    <w:rsid w:val="28EF40E2"/>
    <w:rsid w:val="2D584B56"/>
    <w:rsid w:val="32434F1C"/>
    <w:rsid w:val="3D723D7B"/>
    <w:rsid w:val="3E077380"/>
    <w:rsid w:val="3E3068D7"/>
    <w:rsid w:val="43197979"/>
    <w:rsid w:val="43BC4CB6"/>
    <w:rsid w:val="43BD76D9"/>
    <w:rsid w:val="48DB38E3"/>
    <w:rsid w:val="4ED67027"/>
    <w:rsid w:val="5A7B0A82"/>
    <w:rsid w:val="61E358D1"/>
    <w:rsid w:val="663A6FD1"/>
    <w:rsid w:val="66D82907"/>
    <w:rsid w:val="69E430E9"/>
    <w:rsid w:val="6FAA79E8"/>
    <w:rsid w:val="6FE111A0"/>
    <w:rsid w:val="75C519EB"/>
    <w:rsid w:val="770519A8"/>
    <w:rsid w:val="77894387"/>
    <w:rsid w:val="7B063467"/>
    <w:rsid w:val="7B984CEC"/>
    <w:rsid w:val="7C776EA4"/>
    <w:rsid w:val="7E2322C8"/>
    <w:rsid w:val="7EA95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8">
    <w:name w:val="闻政-正文段落文字"/>
    <w:basedOn w:val="1"/>
    <w:qFormat/>
    <w:uiPriority w:val="3"/>
    <w:pPr>
      <w:spacing w:line="500" w:lineRule="exact"/>
      <w:ind w:firstLine="200"/>
    </w:pPr>
    <w:rPr>
      <w:rFonts w:ascii="Times New Roman" w:hAnsi="Times New Roman" w:cs="Times New Roman"/>
      <w:kern w:val="0"/>
      <w:szCs w:val="28"/>
    </w:rPr>
  </w:style>
  <w:style w:type="character" w:customStyle="1" w:styleId="9">
    <w:name w:val="NormalCharacter"/>
    <w:qFormat/>
    <w:uiPriority w:val="0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1446</Words>
  <Characters>1482</Characters>
  <Lines>0</Lines>
  <Paragraphs>0</Paragraphs>
  <TotalTime>10</TotalTime>
  <ScaleCrop>false</ScaleCrop>
  <LinksUpToDate>false</LinksUpToDate>
  <CharactersWithSpaces>1535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2025-07-24T03:18:00Z</dcterms:created>
  <dc:creator>Administrator</dc:creator>
  <cp:lastModifiedBy>镜夜天</cp:lastModifiedBy>
  <cp:lastPrinted>2025-08-26T01:51:00Z</cp:lastPrinted>
  <dcterms:modified xsi:type="dcterms:W3CDTF">2025-09-01T09:43:57Z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eyJoZGlkIjoiYzcxNTZhNjc5Zjc5NTI0NzZhYTdjYTg4NDE3ZThkMmMiLCJ1c2VySWQiOiIzMzQ4NDY3NDMifQ==</vt:lpwstr>
  </property>
  <property fmtid="{D5CDD505-2E9C-101B-9397-08002B2CF9AE}" pid="4" name="ICV">
    <vt:lpwstr>0A74E4D313874687A19062C6AEF0B838_13</vt:lpwstr>
  </property>
</Properties>
</file>